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320"/>
        <w:jc w:val="center"/>
        <w:rPr/>
      </w:pPr>
      <w:r>
        <w:rPr>
          <w:b/>
          <w:bCs/>
          <w:sz w:val="44"/>
          <w:szCs w:val="44"/>
        </w:rPr>
        <w:t>Business Responsibility and Sustainability Reporting</w:t>
      </w:r>
    </w:p>
    <w:p>
      <w:pPr>
        <w:pStyle w:val="Normal"/>
        <w:keepNext w:val="true"/>
        <w:keepLines/>
        <w:shd w:val="clear" w:color="auto" w:fill="F7F7F7"/>
        <w:spacing w:before="200" w:after="180"/>
        <w:ind w:left="100" w:hanging="0"/>
        <w:rPr/>
      </w:pPr>
      <w:r>
        <w:rPr>
          <w:b/>
          <w:bCs/>
          <w:sz w:val="24"/>
          <w:szCs w:val="24"/>
        </w:rPr>
        <w:t>Section A: General Disclosures</w:t>
      </w:r>
    </w:p>
    <w:p>
      <w:pPr>
        <w:pStyle w:val="Normal"/>
        <w:keepNext w:val="true"/>
        <w:keepLines/>
        <w:pBdr>
          <w:bottom w:val="single" w:sz="4" w:space="4" w:color="E5E5E5"/>
        </w:pBdr>
        <w:spacing w:lineRule="auto" w:line="276" w:before="200" w:after="140"/>
        <w:rPr/>
      </w:pPr>
      <w:r>
        <w:rPr>
          <w:b/>
          <w:bCs/>
        </w:rPr>
        <w:t>I. Details of the listed entity</w:t>
      </w:r>
    </w:p>
    <w:tbl>
      <w:tblPr>
        <w:tblW w:w="10536" w:type="dxa"/>
        <w:jc w:val="left"/>
        <w:tblInd w:w="0" w:type="dxa"/>
        <w:tblLayout w:type="fixed"/>
        <w:tblCellMar>
          <w:top w:w="60" w:type="dxa"/>
          <w:left w:w="40" w:type="dxa"/>
          <w:bottom w:w="60" w:type="dxa"/>
          <w:right w:w="40" w:type="dxa"/>
        </w:tblCellMar>
        <w:tblLook w:val="04a0" w:noHBand="0" w:noVBand="1" w:firstColumn="1" w:lastRow="0" w:lastColumn="0" w:firstRow="1"/>
      </w:tblPr>
      <w:tblGrid>
        <w:gridCol w:w="560"/>
        <w:gridCol w:w="4899"/>
        <w:gridCol w:w="260"/>
        <w:gridCol w:w="4816"/>
      </w:tblGrid>
      <w:tr>
        <w:trPr/>
        <w:tc>
          <w:tcPr>
            <w:tcW w:w="560" w:type="dxa"/>
            <w:tcBorders/>
          </w:tcPr>
          <w:p>
            <w:pPr>
              <w:pStyle w:val="Normal"/>
              <w:widowControl w:val="false"/>
              <w:spacing w:lineRule="auto" w:line="264"/>
              <w:jc w:val="center"/>
              <w:rPr/>
            </w:pPr>
            <w:r>
              <w:rPr/>
              <w:t>1</w:t>
            </w:r>
          </w:p>
        </w:tc>
        <w:tc>
          <w:tcPr>
            <w:tcW w:w="4899" w:type="dxa"/>
            <w:tcBorders/>
          </w:tcPr>
          <w:p>
            <w:pPr>
              <w:pStyle w:val="Normal"/>
              <w:widowControl w:val="false"/>
              <w:spacing w:lineRule="auto" w:line="264"/>
              <w:rPr/>
            </w:pPr>
            <w:r>
              <w:rPr>
                <w:b/>
                <w:bCs/>
              </w:rPr>
              <w:t>Corporate Identity Number (CIN) of the Listed Entity</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L27109KA1964PLC001546</w:t>
            </w:r>
          </w:p>
        </w:tc>
      </w:tr>
      <w:tr>
        <w:trPr/>
        <w:tc>
          <w:tcPr>
            <w:tcW w:w="560" w:type="dxa"/>
            <w:tcBorders/>
          </w:tcPr>
          <w:p>
            <w:pPr>
              <w:pStyle w:val="Normal"/>
              <w:widowControl w:val="false"/>
              <w:spacing w:lineRule="auto" w:line="264"/>
              <w:jc w:val="center"/>
              <w:rPr/>
            </w:pPr>
            <w:r>
              <w:rPr/>
              <w:t>2</w:t>
            </w:r>
          </w:p>
        </w:tc>
        <w:tc>
          <w:tcPr>
            <w:tcW w:w="4899" w:type="dxa"/>
            <w:tcBorders/>
          </w:tcPr>
          <w:p>
            <w:pPr>
              <w:pStyle w:val="Normal"/>
              <w:widowControl w:val="false"/>
              <w:spacing w:lineRule="auto" w:line="264"/>
              <w:rPr/>
            </w:pPr>
            <w:r>
              <w:rPr>
                <w:b/>
                <w:bCs/>
              </w:rPr>
              <w:t>Name of the Listed Entity</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Kennametal India Limited</w:t>
            </w:r>
          </w:p>
        </w:tc>
      </w:tr>
      <w:tr>
        <w:trPr/>
        <w:tc>
          <w:tcPr>
            <w:tcW w:w="560" w:type="dxa"/>
            <w:tcBorders/>
          </w:tcPr>
          <w:p>
            <w:pPr>
              <w:pStyle w:val="Normal"/>
              <w:widowControl w:val="false"/>
              <w:spacing w:lineRule="auto" w:line="264"/>
              <w:jc w:val="center"/>
              <w:rPr/>
            </w:pPr>
            <w:r>
              <w:rPr/>
              <w:t>3</w:t>
            </w:r>
          </w:p>
        </w:tc>
        <w:tc>
          <w:tcPr>
            <w:tcW w:w="4899" w:type="dxa"/>
            <w:tcBorders/>
          </w:tcPr>
          <w:p>
            <w:pPr>
              <w:pStyle w:val="Normal"/>
              <w:widowControl w:val="false"/>
              <w:spacing w:lineRule="auto" w:line="264"/>
              <w:rPr/>
            </w:pPr>
            <w:r>
              <w:rPr>
                <w:b/>
                <w:bCs/>
              </w:rPr>
              <w:t>Year of incorporation</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September 21, 1964</w:t>
            </w:r>
          </w:p>
        </w:tc>
      </w:tr>
      <w:tr>
        <w:trPr/>
        <w:tc>
          <w:tcPr>
            <w:tcW w:w="560" w:type="dxa"/>
            <w:tcBorders/>
          </w:tcPr>
          <w:p>
            <w:pPr>
              <w:pStyle w:val="Normal"/>
              <w:widowControl w:val="false"/>
              <w:spacing w:lineRule="auto" w:line="264"/>
              <w:jc w:val="center"/>
              <w:rPr/>
            </w:pPr>
            <w:r>
              <w:rPr/>
              <w:t>4</w:t>
            </w:r>
          </w:p>
        </w:tc>
        <w:tc>
          <w:tcPr>
            <w:tcW w:w="4899" w:type="dxa"/>
            <w:tcBorders/>
          </w:tcPr>
          <w:p>
            <w:pPr>
              <w:pStyle w:val="Normal"/>
              <w:widowControl w:val="false"/>
              <w:spacing w:lineRule="auto" w:line="264"/>
              <w:rPr/>
            </w:pPr>
            <w:r>
              <w:rPr>
                <w:b/>
                <w:bCs/>
              </w:rPr>
              <w:t>Registered office address</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8/9th Mile, Tumkur Road, Bengaluru, Karnataka - 560073, India</w:t>
            </w:r>
          </w:p>
        </w:tc>
      </w:tr>
      <w:tr>
        <w:trPr/>
        <w:tc>
          <w:tcPr>
            <w:tcW w:w="560" w:type="dxa"/>
            <w:tcBorders/>
          </w:tcPr>
          <w:p>
            <w:pPr>
              <w:pStyle w:val="Normal"/>
              <w:widowControl w:val="false"/>
              <w:spacing w:lineRule="auto" w:line="264"/>
              <w:jc w:val="center"/>
              <w:rPr/>
            </w:pPr>
            <w:r>
              <w:rPr/>
              <w:t>5</w:t>
            </w:r>
          </w:p>
        </w:tc>
        <w:tc>
          <w:tcPr>
            <w:tcW w:w="4899" w:type="dxa"/>
            <w:tcBorders/>
          </w:tcPr>
          <w:p>
            <w:pPr>
              <w:pStyle w:val="Normal"/>
              <w:widowControl w:val="false"/>
              <w:spacing w:lineRule="auto" w:line="264"/>
              <w:rPr/>
            </w:pPr>
            <w:r>
              <w:rPr>
                <w:b/>
                <w:bCs/>
              </w:rPr>
              <w:t>Corporate address</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8/9th Mile, Tumkur Road, Bengaluru, Karnataka - 560073, India</w:t>
            </w:r>
          </w:p>
        </w:tc>
      </w:tr>
      <w:tr>
        <w:trPr/>
        <w:tc>
          <w:tcPr>
            <w:tcW w:w="560" w:type="dxa"/>
            <w:tcBorders/>
          </w:tcPr>
          <w:p>
            <w:pPr>
              <w:pStyle w:val="Normal"/>
              <w:widowControl w:val="false"/>
              <w:spacing w:lineRule="auto" w:line="264"/>
              <w:jc w:val="center"/>
              <w:rPr/>
            </w:pPr>
            <w:r>
              <w:rPr/>
              <w:t>6</w:t>
            </w:r>
          </w:p>
        </w:tc>
        <w:tc>
          <w:tcPr>
            <w:tcW w:w="4899" w:type="dxa"/>
            <w:tcBorders/>
          </w:tcPr>
          <w:p>
            <w:pPr>
              <w:pStyle w:val="Normal"/>
              <w:widowControl w:val="false"/>
              <w:spacing w:lineRule="auto" w:line="264"/>
              <w:rPr/>
            </w:pPr>
            <w:r>
              <w:rPr>
                <w:b/>
                <w:bCs/>
              </w:rPr>
              <w:t>E-mail</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k-bngs-investor.relation@kennametal.com</w:t>
            </w:r>
          </w:p>
        </w:tc>
      </w:tr>
      <w:tr>
        <w:trPr/>
        <w:tc>
          <w:tcPr>
            <w:tcW w:w="560" w:type="dxa"/>
            <w:tcBorders/>
          </w:tcPr>
          <w:p>
            <w:pPr>
              <w:pStyle w:val="Normal"/>
              <w:widowControl w:val="false"/>
              <w:spacing w:lineRule="auto" w:line="264"/>
              <w:jc w:val="center"/>
              <w:rPr/>
            </w:pPr>
            <w:r>
              <w:rPr/>
              <w:t>7</w:t>
            </w:r>
          </w:p>
        </w:tc>
        <w:tc>
          <w:tcPr>
            <w:tcW w:w="4899" w:type="dxa"/>
            <w:tcBorders/>
          </w:tcPr>
          <w:p>
            <w:pPr>
              <w:pStyle w:val="Normal"/>
              <w:widowControl w:val="false"/>
              <w:spacing w:lineRule="auto" w:line="264"/>
              <w:rPr/>
            </w:pPr>
            <w:r>
              <w:rPr>
                <w:b/>
                <w:bCs/>
              </w:rPr>
              <w:t>Telephone</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080-28394321</w:t>
            </w:r>
          </w:p>
        </w:tc>
      </w:tr>
      <w:tr>
        <w:trPr/>
        <w:tc>
          <w:tcPr>
            <w:tcW w:w="560" w:type="dxa"/>
            <w:tcBorders/>
          </w:tcPr>
          <w:p>
            <w:pPr>
              <w:pStyle w:val="Normal"/>
              <w:widowControl w:val="false"/>
              <w:spacing w:lineRule="auto" w:line="264"/>
              <w:jc w:val="center"/>
              <w:rPr/>
            </w:pPr>
            <w:r>
              <w:rPr/>
              <w:t>8</w:t>
            </w:r>
          </w:p>
        </w:tc>
        <w:tc>
          <w:tcPr>
            <w:tcW w:w="4899" w:type="dxa"/>
            <w:tcBorders/>
          </w:tcPr>
          <w:p>
            <w:pPr>
              <w:pStyle w:val="Normal"/>
              <w:widowControl w:val="false"/>
              <w:spacing w:lineRule="auto" w:line="264"/>
              <w:rPr/>
            </w:pPr>
            <w:r>
              <w:rPr>
                <w:b/>
                <w:bCs/>
              </w:rPr>
              <w:t>Website</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hyperlink r:id="rId2">
              <w:r>
                <w:rPr>
                  <w:rStyle w:val="InternetLink"/>
                </w:rPr>
                <w:t>https://www.kennametal.com/in/en/about-us/kil-financials.html</w:t>
              </w:r>
            </w:hyperlink>
          </w:p>
        </w:tc>
      </w:tr>
      <w:tr>
        <w:trPr/>
        <w:tc>
          <w:tcPr>
            <w:tcW w:w="560" w:type="dxa"/>
            <w:tcBorders/>
          </w:tcPr>
          <w:p>
            <w:pPr>
              <w:pStyle w:val="Normal"/>
              <w:widowControl w:val="false"/>
              <w:spacing w:lineRule="auto" w:line="264"/>
              <w:jc w:val="center"/>
              <w:rPr/>
            </w:pPr>
            <w:r>
              <w:rPr/>
              <w:t>9</w:t>
            </w:r>
          </w:p>
        </w:tc>
        <w:tc>
          <w:tcPr>
            <w:tcW w:w="4899" w:type="dxa"/>
            <w:tcBorders/>
          </w:tcPr>
          <w:p>
            <w:pPr>
              <w:pStyle w:val="Normal"/>
              <w:widowControl w:val="false"/>
              <w:spacing w:lineRule="auto" w:line="264"/>
              <w:rPr/>
            </w:pPr>
            <w:r>
              <w:rPr>
                <w:b/>
                <w:bCs/>
              </w:rPr>
              <w:t>Financial year for which reporting is being done</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FY 2025-26 (July 1, 2025 to June 30, 2026)</w:t>
            </w:r>
          </w:p>
        </w:tc>
      </w:tr>
      <w:tr>
        <w:trPr/>
        <w:tc>
          <w:tcPr>
            <w:tcW w:w="560" w:type="dxa"/>
            <w:tcBorders/>
          </w:tcPr>
          <w:p>
            <w:pPr>
              <w:pStyle w:val="Normal"/>
              <w:widowControl w:val="false"/>
              <w:spacing w:lineRule="auto" w:line="264"/>
              <w:jc w:val="center"/>
              <w:rPr/>
            </w:pPr>
            <w:r>
              <w:rPr/>
              <w:t>10</w:t>
            </w:r>
          </w:p>
        </w:tc>
        <w:tc>
          <w:tcPr>
            <w:tcW w:w="4899" w:type="dxa"/>
            <w:tcBorders/>
          </w:tcPr>
          <w:p>
            <w:pPr>
              <w:pStyle w:val="Normal"/>
              <w:widowControl w:val="false"/>
              <w:spacing w:lineRule="auto" w:line="264"/>
              <w:rPr/>
            </w:pPr>
            <w:r>
              <w:rPr>
                <w:b/>
                <w:bCs/>
              </w:rPr>
              <w:t>Name of the Stock Exchange(s) where shares are listed</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BSE Limited (Scrip code: 505890, Scrip Name: KENNAMET)</w:t>
            </w:r>
          </w:p>
        </w:tc>
      </w:tr>
      <w:tr>
        <w:trPr/>
        <w:tc>
          <w:tcPr>
            <w:tcW w:w="560" w:type="dxa"/>
            <w:tcBorders/>
          </w:tcPr>
          <w:p>
            <w:pPr>
              <w:pStyle w:val="Normal"/>
              <w:widowControl w:val="false"/>
              <w:spacing w:lineRule="auto" w:line="264"/>
              <w:jc w:val="center"/>
              <w:rPr/>
            </w:pPr>
            <w:r>
              <w:rPr/>
              <w:t>11</w:t>
            </w:r>
          </w:p>
        </w:tc>
        <w:tc>
          <w:tcPr>
            <w:tcW w:w="4899" w:type="dxa"/>
            <w:tcBorders/>
          </w:tcPr>
          <w:p>
            <w:pPr>
              <w:pStyle w:val="Normal"/>
              <w:widowControl w:val="false"/>
              <w:spacing w:lineRule="auto" w:line="264"/>
              <w:rPr/>
            </w:pPr>
            <w:r>
              <w:rPr>
                <w:b/>
                <w:bCs/>
              </w:rPr>
              <w:t>Paid-up Capital (In Rs)</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Rs. 219,782,400 /-</w:t>
            </w:r>
          </w:p>
        </w:tc>
      </w:tr>
      <w:tr>
        <w:trPr/>
        <w:tc>
          <w:tcPr>
            <w:tcW w:w="560" w:type="dxa"/>
            <w:tcBorders/>
          </w:tcPr>
          <w:p>
            <w:pPr>
              <w:pStyle w:val="Normal"/>
              <w:widowControl w:val="false"/>
              <w:spacing w:lineRule="auto" w:line="264"/>
              <w:jc w:val="center"/>
              <w:rPr/>
            </w:pPr>
            <w:r>
              <w:rPr/>
              <w:t>12</w:t>
            </w:r>
          </w:p>
        </w:tc>
        <w:tc>
          <w:tcPr>
            <w:tcW w:w="4899" w:type="dxa"/>
            <w:tcBorders/>
          </w:tcPr>
          <w:p>
            <w:pPr>
              <w:pStyle w:val="Normal"/>
              <w:widowControl w:val="false"/>
              <w:spacing w:lineRule="auto" w:line="264"/>
              <w:rPr/>
            </w:pPr>
            <w:r>
              <w:rPr>
                <w:b/>
                <w:bCs/>
              </w:rPr>
              <w:t>Name and contact details (telephone, email address) of the person who may be contacted in case of any queries on the BRSR report</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before="0" w:after="60"/>
              <w:rPr/>
            </w:pPr>
            <w:r>
              <w:rPr/>
              <w:t>Mr. Vijaykrishnan Venkatesan</w:t>
            </w:r>
          </w:p>
          <w:p>
            <w:pPr>
              <w:pStyle w:val="Normal"/>
              <w:widowControl w:val="false"/>
              <w:spacing w:lineRule="auto" w:line="264" w:before="0" w:after="60"/>
              <w:rPr/>
            </w:pPr>
            <w:r>
              <w:rPr/>
              <w:t>Managing Director</w:t>
            </w:r>
          </w:p>
          <w:p>
            <w:pPr>
              <w:pStyle w:val="Normal"/>
              <w:widowControl w:val="false"/>
              <w:spacing w:lineRule="auto" w:line="264" w:before="0" w:after="60"/>
              <w:rPr/>
            </w:pPr>
            <w:r>
              <w:rPr/>
              <w:t>+91 8028394321</w:t>
            </w:r>
          </w:p>
          <w:p>
            <w:pPr>
              <w:pStyle w:val="Normal"/>
              <w:widowControl w:val="false"/>
              <w:spacing w:lineRule="auto" w:line="264" w:before="0" w:after="60"/>
              <w:rPr/>
            </w:pPr>
            <w:r>
              <w:rPr/>
              <w:t>vijaykrishnan.venkatesan@kennametal.com</w:t>
            </w:r>
          </w:p>
          <w:p>
            <w:pPr>
              <w:pStyle w:val="Normal"/>
              <w:widowControl w:val="false"/>
              <w:spacing w:lineRule="auto" w:line="264"/>
              <w:rPr/>
            </w:pPr>
            <w:r>
              <w:rPr/>
              <w:t>Note: Full Phone No. +91-80-28394321</w:t>
            </w:r>
          </w:p>
        </w:tc>
      </w:tr>
      <w:tr>
        <w:trPr/>
        <w:tc>
          <w:tcPr>
            <w:tcW w:w="560" w:type="dxa"/>
            <w:tcBorders/>
          </w:tcPr>
          <w:p>
            <w:pPr>
              <w:pStyle w:val="Normal"/>
              <w:widowControl w:val="false"/>
              <w:spacing w:lineRule="auto" w:line="264"/>
              <w:jc w:val="center"/>
              <w:rPr/>
            </w:pPr>
            <w:r>
              <w:rPr/>
              <w:t>13</w:t>
            </w:r>
          </w:p>
        </w:tc>
        <w:tc>
          <w:tcPr>
            <w:tcW w:w="4899" w:type="dxa"/>
            <w:tcBorders/>
          </w:tcPr>
          <w:p>
            <w:pPr>
              <w:pStyle w:val="Normal"/>
              <w:widowControl w:val="false"/>
              <w:spacing w:lineRule="auto" w:line="264"/>
              <w:rPr/>
            </w:pPr>
            <w:r>
              <w:rPr>
                <w:b/>
                <w:bCs/>
              </w:rPr>
              <w:t>Reporting boundary - Are the disclosures under this report made on a standalone basis (i.e. only for the entity) or on a consolidated basis (i.e. for the entity and all the entities which form a part of its consolidated financial statements, taken together).</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Disclosures made in this report are on a standalone basis and pertain to Kennametal India Limited (KIL). There are no subsidiaries.</w:t>
            </w:r>
          </w:p>
        </w:tc>
      </w:tr>
      <w:tr>
        <w:trPr/>
        <w:tc>
          <w:tcPr>
            <w:tcW w:w="560" w:type="dxa"/>
            <w:tcBorders/>
          </w:tcPr>
          <w:p>
            <w:pPr>
              <w:pStyle w:val="Normal"/>
              <w:widowControl w:val="false"/>
              <w:spacing w:lineRule="auto" w:line="264"/>
              <w:jc w:val="center"/>
              <w:rPr/>
            </w:pPr>
            <w:r>
              <w:rPr/>
              <w:t>14</w:t>
            </w:r>
          </w:p>
        </w:tc>
        <w:tc>
          <w:tcPr>
            <w:tcW w:w="4899" w:type="dxa"/>
            <w:tcBorders/>
          </w:tcPr>
          <w:p>
            <w:pPr>
              <w:pStyle w:val="Normal"/>
              <w:widowControl w:val="false"/>
              <w:spacing w:lineRule="auto" w:line="264"/>
              <w:rPr/>
            </w:pPr>
            <w:r>
              <w:rPr>
                <w:b/>
                <w:bCs/>
              </w:rPr>
              <w:t>Name of assurance provider</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Not Applicable</w:t>
            </w:r>
          </w:p>
        </w:tc>
      </w:tr>
      <w:tr>
        <w:trPr/>
        <w:tc>
          <w:tcPr>
            <w:tcW w:w="560" w:type="dxa"/>
            <w:tcBorders/>
          </w:tcPr>
          <w:p>
            <w:pPr>
              <w:pStyle w:val="Normal"/>
              <w:widowControl w:val="false"/>
              <w:spacing w:lineRule="auto" w:line="264"/>
              <w:jc w:val="center"/>
              <w:rPr/>
            </w:pPr>
            <w:r>
              <w:rPr/>
              <w:t>15</w:t>
            </w:r>
          </w:p>
        </w:tc>
        <w:tc>
          <w:tcPr>
            <w:tcW w:w="4899" w:type="dxa"/>
            <w:tcBorders/>
          </w:tcPr>
          <w:p>
            <w:pPr>
              <w:pStyle w:val="Normal"/>
              <w:widowControl w:val="false"/>
              <w:spacing w:lineRule="auto" w:line="264"/>
              <w:rPr/>
            </w:pPr>
            <w:r>
              <w:rPr>
                <w:b/>
                <w:bCs/>
              </w:rPr>
              <w:t>Type of assurance obtained</w:t>
            </w:r>
          </w:p>
        </w:tc>
        <w:tc>
          <w:tcPr>
            <w:tcW w:w="260" w:type="dxa"/>
            <w:tcBorders/>
          </w:tcPr>
          <w:p>
            <w:pPr>
              <w:pStyle w:val="Normal"/>
              <w:widowControl w:val="false"/>
              <w:spacing w:lineRule="auto" w:line="264"/>
              <w:jc w:val="center"/>
              <w:rPr/>
            </w:pPr>
            <w:r>
              <w:rPr/>
              <w:t>:</w:t>
            </w:r>
          </w:p>
        </w:tc>
        <w:tc>
          <w:tcPr>
            <w:tcW w:w="4816" w:type="dxa"/>
            <w:tcBorders/>
          </w:tcPr>
          <w:p>
            <w:pPr>
              <w:pStyle w:val="Normal"/>
              <w:widowControl w:val="false"/>
              <w:spacing w:lineRule="auto" w:line="264"/>
              <w:rPr/>
            </w:pPr>
            <w:r>
              <w:rPr/>
              <w:t>Not Applicable</w:t>
            </w:r>
          </w:p>
        </w:tc>
      </w:tr>
    </w:tbl>
    <w:p>
      <w:pPr>
        <w:pStyle w:val="Normal"/>
        <w:spacing w:before="0" w:after="120"/>
        <w:rPr/>
      </w:pPr>
      <w:r>
        <w:rPr/>
      </w:r>
    </w:p>
    <w:p>
      <w:pPr>
        <w:pStyle w:val="Normal"/>
        <w:spacing w:before="0" w:after="160"/>
        <w:rPr/>
      </w:pPr>
      <w:r>
        <w:rPr/>
      </w:r>
    </w:p>
    <w:p>
      <w:pPr>
        <w:pStyle w:val="Normal"/>
        <w:keepNext w:val="true"/>
        <w:keepLines/>
        <w:pBdr>
          <w:bottom w:val="single" w:sz="4" w:space="4" w:color="E5E5E5"/>
        </w:pBdr>
        <w:spacing w:lineRule="auto" w:line="276" w:before="200" w:after="140"/>
        <w:rPr/>
      </w:pPr>
      <w:r>
        <w:rPr>
          <w:b/>
          <w:bCs/>
        </w:rPr>
        <w:t>II. Products/services</w:t>
      </w:r>
    </w:p>
    <w:p>
      <w:pPr>
        <w:pStyle w:val="Normal"/>
        <w:keepNext w:val="true"/>
        <w:keepLines/>
        <w:spacing w:lineRule="auto" w:line="276" w:before="160" w:after="80"/>
        <w:rPr/>
      </w:pPr>
      <w:r>
        <w:rPr>
          <w:b/>
          <w:bCs/>
        </w:rPr>
        <w:t>16. Details of business activities (accounting for 90% of the turnover)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986"/>
        <w:gridCol w:w="4556"/>
        <w:gridCol w:w="1994"/>
      </w:tblGrid>
      <w:tr>
        <w:trPr>
          <w:tblHeader w:val="true"/>
        </w:trPr>
        <w:tc>
          <w:tcPr>
            <w:tcW w:w="3986"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Description of Main Activity</w:t>
            </w:r>
          </w:p>
        </w:tc>
        <w:tc>
          <w:tcPr>
            <w:tcW w:w="455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Description of Business Activity</w:t>
            </w:r>
          </w:p>
        </w:tc>
        <w:tc>
          <w:tcPr>
            <w:tcW w:w="1994"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of Turnover of the entity</w:t>
            </w:r>
          </w:p>
        </w:tc>
      </w:tr>
      <w:tr>
        <w:trPr/>
        <w:tc>
          <w:tcPr>
            <w:tcW w:w="3986" w:type="dxa"/>
            <w:tcBorders>
              <w:top w:val="single" w:sz="6" w:space="0" w:color="000000"/>
              <w:bottom w:val="single" w:sz="6" w:space="0" w:color="000000"/>
              <w:right w:val="single" w:sz="6" w:space="0" w:color="000000"/>
            </w:tcBorders>
          </w:tcPr>
          <w:p>
            <w:pPr>
              <w:pStyle w:val="Normal"/>
              <w:widowControl w:val="false"/>
              <w:spacing w:lineRule="auto" w:line="264"/>
              <w:rPr/>
            </w:pPr>
            <w:r>
              <w:rPr/>
              <w:t>Manufacturing and Trading</w:t>
            </w:r>
          </w:p>
        </w:tc>
        <w:tc>
          <w:tcPr>
            <w:tcW w:w="455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Manufacture of other fabricated metal products; metalworking service activities</w:t>
            </w:r>
          </w:p>
        </w:tc>
        <w:tc>
          <w:tcPr>
            <w:tcW w:w="1994"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90</w:t>
            </w:r>
          </w:p>
        </w:tc>
      </w:tr>
      <w:tr>
        <w:trPr/>
        <w:tc>
          <w:tcPr>
            <w:tcW w:w="3986" w:type="dxa"/>
            <w:tcBorders>
              <w:top w:val="single" w:sz="6" w:space="0" w:color="000000"/>
              <w:bottom w:val="single" w:sz="6" w:space="0" w:color="000000"/>
              <w:right w:val="single" w:sz="6" w:space="0" w:color="000000"/>
            </w:tcBorders>
          </w:tcPr>
          <w:p>
            <w:pPr>
              <w:pStyle w:val="Normal"/>
              <w:widowControl w:val="false"/>
              <w:spacing w:lineRule="auto" w:line="264"/>
              <w:rPr/>
            </w:pPr>
            <w:r>
              <w:rPr/>
              <w:t>Manufacturing</w:t>
            </w:r>
          </w:p>
        </w:tc>
        <w:tc>
          <w:tcPr>
            <w:tcW w:w="455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Manufacture of special-purpose machinery</w:t>
            </w:r>
          </w:p>
        </w:tc>
        <w:tc>
          <w:tcPr>
            <w:tcW w:w="1994"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w:t>
            </w:r>
          </w:p>
        </w:tc>
      </w:tr>
    </w:tbl>
    <w:p>
      <w:pPr>
        <w:pStyle w:val="Normal"/>
        <w:spacing w:before="0" w:after="120"/>
        <w:rPr/>
      </w:pPr>
      <w:r>
        <w:rPr/>
      </w:r>
    </w:p>
    <w:p>
      <w:pPr>
        <w:pStyle w:val="Normal"/>
        <w:keepNext w:val="true"/>
        <w:keepLines/>
        <w:spacing w:lineRule="auto" w:line="276" w:before="160" w:after="80"/>
        <w:rPr/>
      </w:pPr>
      <w:r>
        <w:rPr>
          <w:b/>
          <w:bCs/>
        </w:rPr>
        <w:t>17. Products/Services sold by the entity (accounting for 90% of the entity’s Turnover)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4788"/>
        <w:gridCol w:w="2299"/>
        <w:gridCol w:w="3449"/>
      </w:tblGrid>
      <w:tr>
        <w:trPr>
          <w:tblHeader w:val="true"/>
        </w:trPr>
        <w:tc>
          <w:tcPr>
            <w:tcW w:w="4788"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Product/Service</w:t>
            </w:r>
          </w:p>
        </w:tc>
        <w:tc>
          <w:tcPr>
            <w:tcW w:w="22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NIC Code</w:t>
            </w:r>
          </w:p>
        </w:tc>
        <w:tc>
          <w:tcPr>
            <w:tcW w:w="3449"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of total Turnover contributed</w:t>
            </w:r>
          </w:p>
        </w:tc>
      </w:tr>
      <w:tr>
        <w:trPr/>
        <w:tc>
          <w:tcPr>
            <w:tcW w:w="4788" w:type="dxa"/>
            <w:tcBorders>
              <w:top w:val="single" w:sz="6" w:space="0" w:color="000000"/>
              <w:bottom w:val="single" w:sz="6" w:space="0" w:color="000000"/>
              <w:right w:val="single" w:sz="6" w:space="0" w:color="000000"/>
            </w:tcBorders>
          </w:tcPr>
          <w:p>
            <w:pPr>
              <w:pStyle w:val="Normal"/>
              <w:widowControl w:val="false"/>
              <w:spacing w:lineRule="auto" w:line="264"/>
              <w:rPr/>
            </w:pPr>
            <w:r>
              <w:rPr/>
              <w:t>Hard Metal Products</w:t>
            </w:r>
          </w:p>
        </w:tc>
        <w:tc>
          <w:tcPr>
            <w:tcW w:w="2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25910</w:t>
            </w:r>
          </w:p>
        </w:tc>
        <w:tc>
          <w:tcPr>
            <w:tcW w:w="344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90</w:t>
            </w:r>
          </w:p>
        </w:tc>
      </w:tr>
      <w:tr>
        <w:trPr/>
        <w:tc>
          <w:tcPr>
            <w:tcW w:w="4788" w:type="dxa"/>
            <w:tcBorders>
              <w:top w:val="single" w:sz="6" w:space="0" w:color="000000"/>
              <w:bottom w:val="single" w:sz="6" w:space="0" w:color="000000"/>
              <w:right w:val="single" w:sz="6" w:space="0" w:color="000000"/>
            </w:tcBorders>
          </w:tcPr>
          <w:p>
            <w:pPr>
              <w:pStyle w:val="Normal"/>
              <w:widowControl w:val="false"/>
              <w:spacing w:lineRule="auto" w:line="264"/>
              <w:rPr/>
            </w:pPr>
            <w:r>
              <w:rPr/>
              <w:t>Machining Solutions Group</w:t>
            </w:r>
          </w:p>
        </w:tc>
        <w:tc>
          <w:tcPr>
            <w:tcW w:w="2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282</w:t>
            </w:r>
          </w:p>
        </w:tc>
        <w:tc>
          <w:tcPr>
            <w:tcW w:w="344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w:t>
            </w:r>
          </w:p>
        </w:tc>
      </w:tr>
    </w:tbl>
    <w:p>
      <w:pPr>
        <w:pStyle w:val="Normal"/>
        <w:spacing w:before="0" w:after="120"/>
        <w:rPr/>
      </w:pPr>
      <w:r>
        <w:rPr/>
      </w:r>
    </w:p>
    <w:p>
      <w:pPr>
        <w:pStyle w:val="Normal"/>
        <w:spacing w:before="0" w:after="160"/>
        <w:rPr/>
      </w:pPr>
      <w:r>
        <w:rPr/>
      </w:r>
    </w:p>
    <w:p>
      <w:pPr>
        <w:pStyle w:val="Normal"/>
        <w:keepNext w:val="true"/>
        <w:keepLines/>
        <w:pBdr>
          <w:bottom w:val="single" w:sz="4" w:space="4" w:color="E5E5E5"/>
        </w:pBdr>
        <w:spacing w:lineRule="auto" w:line="276" w:before="200" w:after="140"/>
        <w:rPr/>
      </w:pPr>
      <w:r>
        <w:rPr>
          <w:b/>
          <w:bCs/>
        </w:rPr>
        <w:t>III. Operations</w:t>
      </w:r>
    </w:p>
    <w:p>
      <w:pPr>
        <w:pStyle w:val="Normal"/>
        <w:keepNext w:val="true"/>
        <w:keepLines/>
        <w:spacing w:lineRule="auto" w:line="276" w:before="160" w:after="80"/>
        <w:rPr/>
      </w:pPr>
      <w:r>
        <w:rPr>
          <w:b/>
          <w:bCs/>
        </w:rPr>
        <w:t>18. Number of locations where plants and/or operations/offices of the entity are situated</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3112"/>
        <w:gridCol w:w="3111"/>
        <w:gridCol w:w="3112"/>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Location</w:t>
            </w:r>
          </w:p>
        </w:tc>
        <w:tc>
          <w:tcPr>
            <w:tcW w:w="311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of plants</w:t>
            </w:r>
          </w:p>
        </w:tc>
        <w:tc>
          <w:tcPr>
            <w:tcW w:w="311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of offices</w:t>
            </w:r>
          </w:p>
        </w:tc>
        <w:tc>
          <w:tcPr>
            <w:tcW w:w="31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Total</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National</w:t>
            </w:r>
          </w:p>
        </w:tc>
        <w:tc>
          <w:tcPr>
            <w:tcW w:w="311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311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5</w:t>
            </w:r>
          </w:p>
        </w:tc>
        <w:tc>
          <w:tcPr>
            <w:tcW w:w="311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6</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International</w:t>
            </w:r>
          </w:p>
        </w:tc>
        <w:tc>
          <w:tcPr>
            <w:tcW w:w="311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Not Applicable</w:t>
            </w:r>
          </w:p>
        </w:tc>
        <w:tc>
          <w:tcPr>
            <w:tcW w:w="311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Not Applicable</w:t>
            </w:r>
          </w:p>
        </w:tc>
        <w:tc>
          <w:tcPr>
            <w:tcW w:w="311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bl>
    <w:p>
      <w:pPr>
        <w:pStyle w:val="Normal"/>
        <w:spacing w:before="0" w:after="120"/>
        <w:rPr/>
      </w:pPr>
      <w:r>
        <w:rPr/>
      </w:r>
    </w:p>
    <w:p>
      <w:pPr>
        <w:pStyle w:val="Normal"/>
        <w:spacing w:lineRule="auto" w:line="264" w:before="80" w:after="120"/>
        <w:ind w:left="100" w:hanging="0"/>
        <w:rPr/>
      </w:pPr>
      <w:r>
        <w:rPr>
          <w:i/>
          <w:iCs/>
          <w:color w:val="666666"/>
          <w:sz w:val="18"/>
          <w:szCs w:val="18"/>
        </w:rPr>
        <w:t>*KIL has operations within India only.</w:t>
      </w:r>
    </w:p>
    <w:p>
      <w:pPr>
        <w:pStyle w:val="Normal"/>
        <w:keepNext w:val="true"/>
        <w:keepLines/>
        <w:spacing w:lineRule="auto" w:line="276" w:before="160" w:after="80"/>
        <w:rPr/>
      </w:pPr>
      <w:r>
        <w:rPr>
          <w:b/>
          <w:bCs/>
        </w:rPr>
        <w:t>19(a). Number of locations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759"/>
        <w:gridCol w:w="8776"/>
      </w:tblGrid>
      <w:tr>
        <w:trPr>
          <w:tblHeader w:val="true"/>
        </w:trPr>
        <w:tc>
          <w:tcPr>
            <w:tcW w:w="1759"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Location</w:t>
            </w:r>
          </w:p>
        </w:tc>
        <w:tc>
          <w:tcPr>
            <w:tcW w:w="877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Number</w:t>
            </w:r>
          </w:p>
        </w:tc>
      </w:tr>
      <w:tr>
        <w:trPr/>
        <w:tc>
          <w:tcPr>
            <w:tcW w:w="1759" w:type="dxa"/>
            <w:tcBorders>
              <w:top w:val="single" w:sz="6" w:space="0" w:color="000000"/>
              <w:bottom w:val="single" w:sz="6" w:space="0" w:color="000000"/>
              <w:right w:val="single" w:sz="6" w:space="0" w:color="000000"/>
            </w:tcBorders>
          </w:tcPr>
          <w:p>
            <w:pPr>
              <w:pStyle w:val="Normal"/>
              <w:widowControl w:val="false"/>
              <w:spacing w:lineRule="auto" w:line="264"/>
              <w:rPr/>
            </w:pPr>
            <w:r>
              <w:rPr/>
              <w:t>National (No. of states)</w:t>
            </w:r>
          </w:p>
        </w:tc>
        <w:tc>
          <w:tcPr>
            <w:tcW w:w="877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28</w:t>
            </w:r>
          </w:p>
        </w:tc>
      </w:tr>
      <w:tr>
        <w:trPr/>
        <w:tc>
          <w:tcPr>
            <w:tcW w:w="1759" w:type="dxa"/>
            <w:tcBorders>
              <w:top w:val="single" w:sz="6" w:space="0" w:color="000000"/>
              <w:bottom w:val="single" w:sz="6" w:space="0" w:color="000000"/>
              <w:right w:val="single" w:sz="6" w:space="0" w:color="000000"/>
            </w:tcBorders>
          </w:tcPr>
          <w:p>
            <w:pPr>
              <w:pStyle w:val="Normal"/>
              <w:widowControl w:val="false"/>
              <w:spacing w:lineRule="auto" w:line="264"/>
              <w:rPr/>
            </w:pPr>
            <w:r>
              <w:rPr/>
              <w:t>International (No. of countries)</w:t>
            </w:r>
          </w:p>
        </w:tc>
        <w:tc>
          <w:tcPr>
            <w:tcW w:w="877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18</w:t>
            </w:r>
          </w:p>
        </w:tc>
      </w:tr>
    </w:tbl>
    <w:p>
      <w:pPr>
        <w:pStyle w:val="Normal"/>
        <w:spacing w:before="0" w:after="120"/>
        <w:rPr/>
      </w:pPr>
      <w:r>
        <w:rPr/>
      </w:r>
    </w:p>
    <w:p>
      <w:pPr>
        <w:pStyle w:val="Normal"/>
        <w:spacing w:lineRule="auto" w:line="264" w:before="80" w:after="120"/>
        <w:ind w:left="100" w:hanging="0"/>
        <w:rPr/>
      </w:pPr>
      <w:r>
        <w:rPr>
          <w:i/>
          <w:iCs/>
          <w:color w:val="666666"/>
          <w:sz w:val="18"/>
          <w:szCs w:val="18"/>
        </w:rPr>
        <w:t>Note: 28 States (as KIL is present across the country) and 17 countries (including India) as per geography wise sales file.</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19(b)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What is the contribution of exports as a percentage of the total turnover of the entity?</w:t>
            </w:r>
          </w:p>
        </w:tc>
        <w:tc>
          <w:tcPr>
            <w:tcW w:w="5957" w:type="dxa"/>
            <w:tcBorders>
              <w:top w:val="single" w:sz="6" w:space="0" w:color="000000"/>
              <w:left w:val="single" w:sz="6" w:space="0" w:color="000000"/>
              <w:bottom w:val="single" w:sz="6" w:space="0" w:color="000000"/>
            </w:tcBorders>
          </w:tcPr>
          <w:p>
            <w:pPr>
              <w:pStyle w:val="Normal"/>
              <w:widowControl w:val="false"/>
              <w:rPr>
                <w:sz w:val="22"/>
                <w:szCs w:val="22"/>
              </w:rPr>
            </w:pPr>
            <w:r>
              <w:rPr>
                <w:sz w:val="22"/>
                <w:szCs w:val="22"/>
              </w:rPr>
              <w:t>Along with pan-India domestic operations, KIL exports products to Asia Pacific, European, Middle East and American markets. The exports account for around 14% of KIL's total turnover for FY26.</w:t>
            </w:r>
          </w:p>
          <w:p>
            <w:pPr>
              <w:pStyle w:val="Normal"/>
              <w:widowControl w:val="false"/>
              <w:spacing w:lineRule="auto" w:line="264"/>
              <w:rPr/>
            </w:pPr>
            <w:r>
              <w:rPr/>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19(c)</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A brief on types of customers</w:t>
            </w:r>
          </w:p>
        </w:tc>
        <w:tc>
          <w:tcPr>
            <w:tcW w:w="5957" w:type="dxa"/>
            <w:tcBorders>
              <w:top w:val="single" w:sz="6" w:space="0" w:color="000000"/>
              <w:left w:val="single" w:sz="6" w:space="0" w:color="000000"/>
              <w:bottom w:val="single" w:sz="6" w:space="0" w:color="000000"/>
            </w:tcBorders>
          </w:tcPr>
          <w:p>
            <w:pPr>
              <w:pStyle w:val="Normal"/>
              <w:widowControl w:val="false"/>
              <w:rPr>
                <w:sz w:val="22"/>
                <w:szCs w:val="22"/>
              </w:rPr>
            </w:pPr>
            <w:r>
              <w:rPr>
                <w:sz w:val="22"/>
                <w:szCs w:val="22"/>
              </w:rPr>
              <w:t>KIL has successfully positioned itself as a reliable industrial technology leader in materials science, tooling, and wear-resistant solutions for customers across the aerospace &amp; defense, earthworks, energy, general engineering and transportation industries across India, Asia Pacific, European, Middle East and American markets.</w:t>
            </w:r>
          </w:p>
          <w:p>
            <w:pPr>
              <w:pStyle w:val="Normal"/>
              <w:widowControl w:val="false"/>
              <w:spacing w:lineRule="auto" w:line="264"/>
              <w:rPr/>
            </w:pPr>
            <w:r>
              <w:rPr/>
            </w:r>
          </w:p>
        </w:tc>
      </w:tr>
    </w:tbl>
    <w:p>
      <w:pPr>
        <w:pStyle w:val="Normal"/>
        <w:spacing w:before="0" w:after="120"/>
        <w:rPr>
          <w:highlight w:val="yellow"/>
        </w:rPr>
      </w:pPr>
      <w:r>
        <w:rPr>
          <w:highlight w:val="yellow"/>
        </w:rPr>
      </w:r>
    </w:p>
    <w:p>
      <w:pPr>
        <w:pStyle w:val="Normal"/>
        <w:spacing w:before="0" w:after="160"/>
        <w:rPr>
          <w:highlight w:val="yellow"/>
        </w:rPr>
      </w:pPr>
      <w:r>
        <w:rPr>
          <w:highlight w:val="yellow"/>
        </w:rPr>
      </w:r>
    </w:p>
    <w:p>
      <w:pPr>
        <w:pStyle w:val="Normal"/>
        <w:keepNext w:val="true"/>
        <w:keepLines/>
        <w:pBdr>
          <w:bottom w:val="single" w:sz="4" w:space="4" w:color="E5E5E5"/>
        </w:pBdr>
        <w:spacing w:lineRule="auto" w:line="276" w:before="200" w:after="140"/>
        <w:rPr/>
      </w:pPr>
      <w:r>
        <w:rPr>
          <w:b/>
          <w:bCs/>
        </w:rPr>
        <w:t>IV. Employees</w:t>
      </w:r>
    </w:p>
    <w:p>
      <w:pPr>
        <w:pStyle w:val="Normal"/>
        <w:keepNext w:val="true"/>
        <w:keepLines/>
        <w:spacing w:lineRule="auto" w:line="276" w:before="160" w:after="80"/>
        <w:rPr/>
      </w:pPr>
      <w:r>
        <w:rPr>
          <w:b/>
          <w:bCs/>
        </w:rPr>
        <w:t>20(a). Employees and workers (including differently abled)</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420"/>
        <w:gridCol w:w="1880"/>
        <w:gridCol w:w="1039"/>
        <w:gridCol w:w="1800"/>
        <w:gridCol w:w="1798"/>
        <w:gridCol w:w="1800"/>
        <w:gridCol w:w="1798"/>
      </w:tblGrid>
      <w:tr>
        <w:trPr>
          <w:tblHeader w:val="true"/>
        </w:trPr>
        <w:tc>
          <w:tcPr>
            <w:tcW w:w="10535" w:type="dxa"/>
            <w:gridSpan w:val="7"/>
            <w:tcBorders>
              <w:top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a. Employees and workers (including differently abled):</w:t>
            </w:r>
          </w:p>
        </w:tc>
      </w:tr>
      <w:tr>
        <w:trPr>
          <w:tblHeader w:val="true"/>
        </w:trPr>
        <w:tc>
          <w:tcPr>
            <w:tcW w:w="42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 No.</w:t>
            </w:r>
          </w:p>
        </w:tc>
        <w:tc>
          <w:tcPr>
            <w:tcW w:w="18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Particulars</w:t>
            </w:r>
          </w:p>
        </w:tc>
        <w:tc>
          <w:tcPr>
            <w:tcW w:w="103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(A)</w:t>
            </w:r>
          </w:p>
        </w:tc>
        <w:tc>
          <w:tcPr>
            <w:tcW w:w="3598"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Male</w:t>
            </w:r>
          </w:p>
        </w:tc>
        <w:tc>
          <w:tcPr>
            <w:tcW w:w="3598" w:type="dxa"/>
            <w:gridSpan w:val="2"/>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Female</w:t>
            </w:r>
          </w:p>
        </w:tc>
      </w:tr>
      <w:tr>
        <w:trPr>
          <w:tblHeader w:val="true"/>
        </w:trPr>
        <w:tc>
          <w:tcPr>
            <w:tcW w:w="42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8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03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8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(B)</w:t>
            </w:r>
          </w:p>
        </w:tc>
        <w:tc>
          <w:tcPr>
            <w:tcW w:w="179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(B/A)</w:t>
            </w:r>
          </w:p>
        </w:tc>
        <w:tc>
          <w:tcPr>
            <w:tcW w:w="18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(C)</w:t>
            </w:r>
          </w:p>
        </w:tc>
        <w:tc>
          <w:tcPr>
            <w:tcW w:w="179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(C/A)</w:t>
            </w:r>
          </w:p>
        </w:tc>
      </w:tr>
      <w:tr>
        <w:trPr/>
        <w:tc>
          <w:tcPr>
            <w:tcW w:w="10535" w:type="dxa"/>
            <w:gridSpan w:val="7"/>
            <w:tcBorders>
              <w:top w:val="single" w:sz="6" w:space="0" w:color="000000"/>
              <w:bottom w:val="single" w:sz="6" w:space="0" w:color="000000"/>
            </w:tcBorders>
          </w:tcPr>
          <w:p>
            <w:pPr>
              <w:pStyle w:val="Normal"/>
              <w:widowControl w:val="false"/>
              <w:spacing w:lineRule="auto" w:line="264"/>
              <w:jc w:val="center"/>
              <w:rPr/>
            </w:pPr>
            <w:r>
              <w:rPr>
                <w:b/>
                <w:bCs/>
              </w:rPr>
              <w:t>Employees</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Permanent Employees (D)</w:t>
            </w:r>
          </w:p>
        </w:tc>
        <w:tc>
          <w:tcPr>
            <w:tcW w:w="10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459</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422</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91.94%</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37</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8.06%</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2.</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Other than Permanent (E)</w:t>
            </w:r>
          </w:p>
        </w:tc>
        <w:tc>
          <w:tcPr>
            <w:tcW w:w="10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124</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115</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92.74%</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9</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7.26%</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3.</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Total Employees (D + E)</w:t>
            </w:r>
          </w:p>
        </w:tc>
        <w:tc>
          <w:tcPr>
            <w:tcW w:w="10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583</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537</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92.11%</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46</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7.89%</w:t>
            </w:r>
          </w:p>
        </w:tc>
      </w:tr>
      <w:tr>
        <w:trPr/>
        <w:tc>
          <w:tcPr>
            <w:tcW w:w="10535" w:type="dxa"/>
            <w:gridSpan w:val="7"/>
            <w:tcBorders>
              <w:top w:val="single" w:sz="6" w:space="0" w:color="000000"/>
              <w:bottom w:val="single" w:sz="6" w:space="0" w:color="000000"/>
            </w:tcBorders>
          </w:tcPr>
          <w:p>
            <w:pPr>
              <w:pStyle w:val="Normal"/>
              <w:widowControl w:val="false"/>
              <w:spacing w:lineRule="auto" w:line="264"/>
              <w:jc w:val="center"/>
              <w:rPr/>
            </w:pPr>
            <w:r>
              <w:rPr>
                <w:b/>
                <w:bCs/>
              </w:rPr>
              <w:t>Workers</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4.</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Permanent Workers (F)</w:t>
            </w:r>
          </w:p>
        </w:tc>
        <w:tc>
          <w:tcPr>
            <w:tcW w:w="10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314</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314</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100%</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0</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0%</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5.</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Other than Permanent (G)</w:t>
            </w:r>
          </w:p>
        </w:tc>
        <w:tc>
          <w:tcPr>
            <w:tcW w:w="10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 xml:space="preserve">  </w:t>
            </w:r>
            <w:r>
              <w:rPr>
                <w:sz w:val="24"/>
                <w:szCs w:val="24"/>
              </w:rPr>
              <w:t>129</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129</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100%</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0</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0%</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6.</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Total Workers (F + G)</w:t>
            </w:r>
          </w:p>
        </w:tc>
        <w:tc>
          <w:tcPr>
            <w:tcW w:w="10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443</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b/>
                <w:sz w:val="24"/>
                <w:szCs w:val="24"/>
              </w:rPr>
              <w:t>443</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100%</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0</w:t>
            </w:r>
          </w:p>
        </w:tc>
        <w:tc>
          <w:tcPr>
            <w:tcW w:w="17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sz w:val="24"/>
                <w:szCs w:val="24"/>
              </w:rPr>
              <w:t>0</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20(b). Differently abled Employees and workers: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420"/>
        <w:gridCol w:w="1880"/>
        <w:gridCol w:w="1039"/>
        <w:gridCol w:w="1800"/>
        <w:gridCol w:w="1798"/>
        <w:gridCol w:w="1800"/>
        <w:gridCol w:w="1798"/>
      </w:tblGrid>
      <w:tr>
        <w:trPr>
          <w:tblHeader w:val="true"/>
        </w:trPr>
        <w:tc>
          <w:tcPr>
            <w:tcW w:w="10535" w:type="dxa"/>
            <w:gridSpan w:val="7"/>
            <w:tcBorders>
              <w:top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b. Differently abled Employees and workers:</w:t>
            </w:r>
          </w:p>
        </w:tc>
      </w:tr>
      <w:tr>
        <w:trPr>
          <w:tblHeader w:val="true"/>
        </w:trPr>
        <w:tc>
          <w:tcPr>
            <w:tcW w:w="42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 No.</w:t>
            </w:r>
          </w:p>
        </w:tc>
        <w:tc>
          <w:tcPr>
            <w:tcW w:w="18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Particulars</w:t>
            </w:r>
          </w:p>
        </w:tc>
        <w:tc>
          <w:tcPr>
            <w:tcW w:w="103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(A)</w:t>
            </w:r>
          </w:p>
        </w:tc>
        <w:tc>
          <w:tcPr>
            <w:tcW w:w="3598"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Male</w:t>
            </w:r>
          </w:p>
        </w:tc>
        <w:tc>
          <w:tcPr>
            <w:tcW w:w="3598" w:type="dxa"/>
            <w:gridSpan w:val="2"/>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Female</w:t>
            </w:r>
          </w:p>
        </w:tc>
      </w:tr>
      <w:tr>
        <w:trPr>
          <w:tblHeader w:val="true"/>
        </w:trPr>
        <w:tc>
          <w:tcPr>
            <w:tcW w:w="42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8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03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8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(B)</w:t>
            </w:r>
          </w:p>
        </w:tc>
        <w:tc>
          <w:tcPr>
            <w:tcW w:w="179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(B/A)</w:t>
            </w:r>
          </w:p>
        </w:tc>
        <w:tc>
          <w:tcPr>
            <w:tcW w:w="18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(C)</w:t>
            </w:r>
          </w:p>
        </w:tc>
        <w:tc>
          <w:tcPr>
            <w:tcW w:w="179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(C/A)</w:t>
            </w:r>
          </w:p>
        </w:tc>
      </w:tr>
      <w:tr>
        <w:trPr/>
        <w:tc>
          <w:tcPr>
            <w:tcW w:w="10535" w:type="dxa"/>
            <w:gridSpan w:val="7"/>
            <w:tcBorders>
              <w:top w:val="single" w:sz="6" w:space="0" w:color="000000"/>
              <w:bottom w:val="single" w:sz="6" w:space="0" w:color="000000"/>
            </w:tcBorders>
          </w:tcPr>
          <w:p>
            <w:pPr>
              <w:pStyle w:val="Normal"/>
              <w:widowControl w:val="false"/>
              <w:spacing w:lineRule="auto" w:line="264"/>
              <w:jc w:val="center"/>
              <w:rPr/>
            </w:pPr>
            <w:r>
              <w:rPr>
                <w:b/>
                <w:bCs/>
              </w:rPr>
              <w:t>Employees</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Permanent (D)</w:t>
            </w:r>
          </w:p>
        </w:tc>
        <w:tc>
          <w:tcPr>
            <w:tcW w:w="103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2.</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Other than Permanent (E)</w:t>
            </w:r>
          </w:p>
        </w:tc>
        <w:tc>
          <w:tcPr>
            <w:tcW w:w="103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3.</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Total Differently Abled Employees (D + E)</w:t>
            </w:r>
          </w:p>
        </w:tc>
        <w:tc>
          <w:tcPr>
            <w:tcW w:w="103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0</w:t>
            </w:r>
          </w:p>
        </w:tc>
        <w:tc>
          <w:tcPr>
            <w:tcW w:w="17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0</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b/>
                <w:bCs/>
              </w:rPr>
              <w:t>0%</w:t>
            </w:r>
          </w:p>
        </w:tc>
      </w:tr>
      <w:tr>
        <w:trPr/>
        <w:tc>
          <w:tcPr>
            <w:tcW w:w="10535" w:type="dxa"/>
            <w:gridSpan w:val="7"/>
            <w:tcBorders>
              <w:top w:val="single" w:sz="6" w:space="0" w:color="000000"/>
              <w:bottom w:val="single" w:sz="6" w:space="0" w:color="000000"/>
            </w:tcBorders>
          </w:tcPr>
          <w:p>
            <w:pPr>
              <w:pStyle w:val="Normal"/>
              <w:widowControl w:val="false"/>
              <w:spacing w:lineRule="auto" w:line="264"/>
              <w:jc w:val="center"/>
              <w:rPr/>
            </w:pPr>
            <w:r>
              <w:rPr>
                <w:b/>
                <w:bCs/>
              </w:rPr>
              <w:t>Workers</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4.</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Permanent (F)</w:t>
            </w:r>
          </w:p>
        </w:tc>
        <w:tc>
          <w:tcPr>
            <w:tcW w:w="103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w:t>
            </w:r>
          </w:p>
        </w:tc>
        <w:tc>
          <w:tcPr>
            <w:tcW w:w="17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100%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5.</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Other than Permanent (G)</w:t>
            </w:r>
          </w:p>
        </w:tc>
        <w:tc>
          <w:tcPr>
            <w:tcW w:w="103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420"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6.</w:t>
            </w:r>
          </w:p>
        </w:tc>
        <w:tc>
          <w:tcPr>
            <w:tcW w:w="1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Total Differently abled workers (F + G)</w:t>
            </w:r>
          </w:p>
        </w:tc>
        <w:tc>
          <w:tcPr>
            <w:tcW w:w="103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2</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2</w:t>
            </w:r>
          </w:p>
        </w:tc>
        <w:tc>
          <w:tcPr>
            <w:tcW w:w="179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100%</w:t>
            </w:r>
          </w:p>
        </w:tc>
        <w:tc>
          <w:tcPr>
            <w:tcW w:w="1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rPr>
              <w:t>0</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b/>
                <w:bCs/>
              </w:rPr>
              <w:t>0%</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21. Participation/Inclusion/Representation of women</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320"/>
        <w:gridCol w:w="3072"/>
        <w:gridCol w:w="3755"/>
        <w:gridCol w:w="2388"/>
      </w:tblGrid>
      <w:tr>
        <w:trPr>
          <w:tblHeader w:val="true"/>
        </w:trPr>
        <w:tc>
          <w:tcPr>
            <w:tcW w:w="132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07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(A)</w:t>
            </w:r>
          </w:p>
        </w:tc>
        <w:tc>
          <w:tcPr>
            <w:tcW w:w="375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Females No. (B)</w:t>
            </w:r>
          </w:p>
        </w:tc>
        <w:tc>
          <w:tcPr>
            <w:tcW w:w="238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Percentage of Females % (B / A)</w:t>
            </w:r>
          </w:p>
        </w:tc>
      </w:tr>
      <w:tr>
        <w:trPr/>
        <w:tc>
          <w:tcPr>
            <w:tcW w:w="1320" w:type="dxa"/>
            <w:tcBorders>
              <w:top w:val="single" w:sz="6" w:space="0" w:color="000000"/>
              <w:bottom w:val="single" w:sz="6" w:space="0" w:color="000000"/>
              <w:right w:val="single" w:sz="6" w:space="0" w:color="000000"/>
            </w:tcBorders>
          </w:tcPr>
          <w:p>
            <w:pPr>
              <w:pStyle w:val="Normal"/>
              <w:widowControl w:val="false"/>
              <w:spacing w:lineRule="auto" w:line="264"/>
              <w:rPr/>
            </w:pPr>
            <w:r>
              <w:rPr/>
              <w:t>Board of Directors</w:t>
            </w:r>
          </w:p>
        </w:tc>
        <w:tc>
          <w:tcPr>
            <w:tcW w:w="307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7</w:t>
            </w:r>
          </w:p>
        </w:tc>
        <w:tc>
          <w:tcPr>
            <w:tcW w:w="37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2</w:t>
            </w:r>
          </w:p>
        </w:tc>
        <w:tc>
          <w:tcPr>
            <w:tcW w:w="238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28.57%</w:t>
            </w:r>
          </w:p>
        </w:tc>
      </w:tr>
      <w:tr>
        <w:trPr/>
        <w:tc>
          <w:tcPr>
            <w:tcW w:w="1320" w:type="dxa"/>
            <w:tcBorders>
              <w:top w:val="single" w:sz="6" w:space="0" w:color="000000"/>
              <w:bottom w:val="single" w:sz="6" w:space="0" w:color="000000"/>
              <w:right w:val="single" w:sz="6" w:space="0" w:color="000000"/>
            </w:tcBorders>
          </w:tcPr>
          <w:p>
            <w:pPr>
              <w:pStyle w:val="Normal"/>
              <w:widowControl w:val="false"/>
              <w:spacing w:lineRule="auto" w:line="264"/>
              <w:rPr/>
            </w:pPr>
            <w:r>
              <w:rPr/>
              <w:t>Key Management Personnel</w:t>
            </w:r>
          </w:p>
        </w:tc>
        <w:tc>
          <w:tcPr>
            <w:tcW w:w="307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w:t>
            </w:r>
          </w:p>
        </w:tc>
        <w:tc>
          <w:tcPr>
            <w:tcW w:w="37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1</w:t>
            </w:r>
          </w:p>
        </w:tc>
        <w:tc>
          <w:tcPr>
            <w:tcW w:w="238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33.33%</w:t>
            </w:r>
          </w:p>
        </w:tc>
      </w:tr>
    </w:tbl>
    <w:p>
      <w:pPr>
        <w:pStyle w:val="Normal"/>
        <w:spacing w:before="0" w:after="120"/>
        <w:rPr>
          <w:highlight w:val="yellow"/>
        </w:rPr>
      </w:pPr>
      <w:r>
        <w:rPr>
          <w:highlight w:val="yellow"/>
        </w:rPr>
      </w:r>
    </w:p>
    <w:p>
      <w:pPr>
        <w:pStyle w:val="Normal"/>
        <w:keepNext w:val="true"/>
        <w:keepLines/>
        <w:spacing w:lineRule="auto" w:line="276" w:before="160" w:after="80"/>
        <w:rPr>
          <w:b/>
          <w:b/>
          <w:bCs/>
        </w:rPr>
      </w:pPr>
      <w:r>
        <w:rPr>
          <w:b/>
          <w:bCs/>
        </w:rPr>
        <w:t>22. Turnover rate for permanent employees and workers (Disclose trends for the past 3 years)</w:t>
      </w:r>
    </w:p>
    <w:tbl>
      <w:tblPr>
        <w:tblW w:w="5000" w:type="pct"/>
        <w:jc w:val="left"/>
        <w:tblInd w:w="0" w:type="dxa"/>
        <w:tblLayout w:type="fixed"/>
        <w:tblCellMar>
          <w:top w:w="0" w:type="dxa"/>
          <w:left w:w="5" w:type="dxa"/>
          <w:bottom w:w="0" w:type="dxa"/>
          <w:right w:w="5" w:type="dxa"/>
        </w:tblCellMar>
        <w:tblLook w:val="0000" w:noHBand="0" w:noVBand="0" w:firstColumn="0" w:lastRow="0" w:lastColumn="0" w:firstRow="0"/>
      </w:tblPr>
      <w:tblGrid>
        <w:gridCol w:w="2299"/>
        <w:gridCol w:w="810"/>
        <w:gridCol w:w="947"/>
        <w:gridCol w:w="812"/>
        <w:gridCol w:w="946"/>
        <w:gridCol w:w="944"/>
        <w:gridCol w:w="945"/>
        <w:gridCol w:w="810"/>
        <w:gridCol w:w="946"/>
        <w:gridCol w:w="1076"/>
      </w:tblGrid>
      <w:tr>
        <w:trPr>
          <w:trHeight w:val="1257" w:hRule="atLeast"/>
        </w:trPr>
        <w:tc>
          <w:tcPr>
            <w:tcW w:w="2299"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r>
          </w:p>
        </w:tc>
        <w:tc>
          <w:tcPr>
            <w:tcW w:w="2569" w:type="dxa"/>
            <w:gridSpan w:val="3"/>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FY 2025-26</w:t>
            </w:r>
          </w:p>
          <w:p>
            <w:pPr>
              <w:pStyle w:val="Normal"/>
              <w:keepNext w:val="true"/>
              <w:keepLines/>
              <w:widowControl w:val="false"/>
              <w:spacing w:lineRule="auto" w:line="276" w:before="160" w:after="80"/>
              <w:rPr>
                <w:b/>
                <w:b/>
                <w:bCs/>
                <w:lang w:val="en-US"/>
              </w:rPr>
            </w:pPr>
            <w:r>
              <w:rPr>
                <w:b/>
                <w:bCs/>
                <w:lang w:val="en-US"/>
              </w:rPr>
              <w:t>(Turnover rate in current</w:t>
            </w:r>
          </w:p>
          <w:p>
            <w:pPr>
              <w:pStyle w:val="Normal"/>
              <w:keepNext w:val="true"/>
              <w:keepLines/>
              <w:widowControl w:val="false"/>
              <w:spacing w:lineRule="auto" w:line="276" w:before="160" w:after="80"/>
              <w:rPr>
                <w:b/>
                <w:b/>
                <w:bCs/>
                <w:lang w:val="en-US"/>
              </w:rPr>
            </w:pPr>
            <w:r>
              <w:rPr>
                <w:b/>
                <w:bCs/>
                <w:lang w:val="en-US"/>
              </w:rPr>
              <w:t>FY 2025-26)</w:t>
            </w:r>
          </w:p>
        </w:tc>
        <w:tc>
          <w:tcPr>
            <w:tcW w:w="2835" w:type="dxa"/>
            <w:gridSpan w:val="3"/>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FY 2024-25</w:t>
            </w:r>
          </w:p>
          <w:p>
            <w:pPr>
              <w:pStyle w:val="Normal"/>
              <w:keepNext w:val="true"/>
              <w:keepLines/>
              <w:widowControl w:val="false"/>
              <w:spacing w:lineRule="auto" w:line="276" w:before="160" w:after="80"/>
              <w:rPr>
                <w:b/>
                <w:b/>
                <w:bCs/>
                <w:lang w:val="en-US"/>
              </w:rPr>
            </w:pPr>
            <w:r>
              <w:rPr>
                <w:b/>
                <w:bCs/>
                <w:lang w:val="en-US"/>
              </w:rPr>
              <w:t>(Turnover rate in current</w:t>
            </w:r>
          </w:p>
          <w:p>
            <w:pPr>
              <w:pStyle w:val="Normal"/>
              <w:keepNext w:val="true"/>
              <w:keepLines/>
              <w:widowControl w:val="false"/>
              <w:spacing w:lineRule="auto" w:line="276" w:before="160" w:after="80"/>
              <w:rPr>
                <w:b/>
                <w:b/>
                <w:bCs/>
                <w:lang w:val="en-US"/>
              </w:rPr>
            </w:pPr>
            <w:r>
              <w:rPr>
                <w:b/>
                <w:bCs/>
                <w:lang w:val="en-US"/>
              </w:rPr>
              <w:t>FY 2024-25)</w:t>
            </w:r>
          </w:p>
        </w:tc>
        <w:tc>
          <w:tcPr>
            <w:tcW w:w="2832" w:type="dxa"/>
            <w:gridSpan w:val="3"/>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FY 2023-24</w:t>
            </w:r>
          </w:p>
          <w:p>
            <w:pPr>
              <w:pStyle w:val="Normal"/>
              <w:keepNext w:val="true"/>
              <w:keepLines/>
              <w:widowControl w:val="false"/>
              <w:spacing w:lineRule="auto" w:line="276" w:before="160" w:after="80"/>
              <w:rPr>
                <w:b/>
                <w:b/>
                <w:bCs/>
                <w:lang w:val="en-US"/>
              </w:rPr>
            </w:pPr>
            <w:r>
              <w:rPr>
                <w:b/>
                <w:bCs/>
                <w:lang w:val="en-US"/>
              </w:rPr>
              <w:t>(Turnover rate in previous FY 2023-24)</w:t>
            </w:r>
          </w:p>
        </w:tc>
      </w:tr>
      <w:tr>
        <w:trPr>
          <w:trHeight w:val="378" w:hRule="atLeast"/>
        </w:trPr>
        <w:tc>
          <w:tcPr>
            <w:tcW w:w="2299"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r>
          </w:p>
        </w:tc>
        <w:tc>
          <w:tcPr>
            <w:tcW w:w="810"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Total</w:t>
            </w:r>
          </w:p>
        </w:tc>
        <w:tc>
          <w:tcPr>
            <w:tcW w:w="94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Male</w:t>
            </w:r>
          </w:p>
        </w:tc>
        <w:tc>
          <w:tcPr>
            <w:tcW w:w="812"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Female</w:t>
            </w:r>
          </w:p>
        </w:tc>
        <w:tc>
          <w:tcPr>
            <w:tcW w:w="94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Male</w:t>
            </w:r>
          </w:p>
        </w:tc>
        <w:tc>
          <w:tcPr>
            <w:tcW w:w="944"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Female</w:t>
            </w:r>
          </w:p>
        </w:tc>
        <w:tc>
          <w:tcPr>
            <w:tcW w:w="94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Total</w:t>
            </w:r>
          </w:p>
        </w:tc>
        <w:tc>
          <w:tcPr>
            <w:tcW w:w="810"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Male</w:t>
            </w:r>
          </w:p>
        </w:tc>
        <w:tc>
          <w:tcPr>
            <w:tcW w:w="94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Female</w:t>
            </w:r>
          </w:p>
        </w:tc>
        <w:tc>
          <w:tcPr>
            <w:tcW w:w="107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Total</w:t>
            </w:r>
          </w:p>
        </w:tc>
      </w:tr>
      <w:tr>
        <w:trPr>
          <w:trHeight w:val="695" w:hRule="atLeast"/>
        </w:trPr>
        <w:tc>
          <w:tcPr>
            <w:tcW w:w="2299"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Permanent Employees</w:t>
            </w:r>
          </w:p>
        </w:tc>
        <w:tc>
          <w:tcPr>
            <w:tcW w:w="810"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18.74%</w:t>
            </w:r>
          </w:p>
        </w:tc>
        <w:tc>
          <w:tcPr>
            <w:tcW w:w="94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19.43%</w:t>
            </w:r>
          </w:p>
        </w:tc>
        <w:tc>
          <w:tcPr>
            <w:tcW w:w="812"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10.81%</w:t>
            </w:r>
          </w:p>
        </w:tc>
        <w:tc>
          <w:tcPr>
            <w:tcW w:w="94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19.18%</w:t>
            </w:r>
          </w:p>
        </w:tc>
        <w:tc>
          <w:tcPr>
            <w:tcW w:w="944"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14.71%</w:t>
            </w:r>
          </w:p>
        </w:tc>
        <w:tc>
          <w:tcPr>
            <w:tcW w:w="94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18.85%</w:t>
            </w:r>
          </w:p>
        </w:tc>
        <w:tc>
          <w:tcPr>
            <w:tcW w:w="810" w:type="dxa"/>
            <w:tcBorders>
              <w:top w:val="single" w:sz="6" w:space="0" w:color="000000"/>
              <w:left w:val="single" w:sz="6" w:space="0" w:color="000000"/>
              <w:bottom w:val="single" w:sz="6" w:space="0" w:color="000000"/>
              <w:right w:val="single" w:sz="6" w:space="0" w:color="000000"/>
            </w:tcBorders>
          </w:tcPr>
          <w:p>
            <w:pPr>
              <w:pStyle w:val="Normal"/>
              <w:keepNext w:val="true"/>
              <w:keepLines/>
              <w:widowControl w:val="false"/>
              <w:spacing w:lineRule="auto" w:line="276" w:before="160" w:after="80"/>
              <w:rPr>
                <w:b/>
                <w:b/>
                <w:bCs/>
                <w:lang w:val="en-US"/>
              </w:rPr>
            </w:pPr>
            <w:r>
              <w:rPr/>
              <w:t>16.27%</w:t>
            </w:r>
          </w:p>
        </w:tc>
        <w:tc>
          <w:tcPr>
            <w:tcW w:w="946" w:type="dxa"/>
            <w:tcBorders>
              <w:top w:val="single" w:sz="6" w:space="0" w:color="000000"/>
              <w:left w:val="single" w:sz="6" w:space="0" w:color="000000"/>
              <w:bottom w:val="single" w:sz="6" w:space="0" w:color="000000"/>
              <w:right w:val="single" w:sz="6" w:space="0" w:color="000000"/>
            </w:tcBorders>
          </w:tcPr>
          <w:p>
            <w:pPr>
              <w:pStyle w:val="Normal"/>
              <w:keepNext w:val="true"/>
              <w:keepLines/>
              <w:widowControl w:val="false"/>
              <w:spacing w:lineRule="auto" w:line="276" w:before="160" w:after="80"/>
              <w:rPr>
                <w:b/>
                <w:b/>
                <w:bCs/>
                <w:lang w:val="en-US"/>
              </w:rPr>
            </w:pPr>
            <w:r>
              <w:rPr/>
              <w:t>12.90%</w:t>
            </w:r>
          </w:p>
        </w:tc>
        <w:tc>
          <w:tcPr>
            <w:tcW w:w="1076" w:type="dxa"/>
            <w:tcBorders>
              <w:top w:val="single" w:sz="6" w:space="0" w:color="000000"/>
              <w:left w:val="single" w:sz="6" w:space="0" w:color="000000"/>
              <w:bottom w:val="single" w:sz="6" w:space="0" w:color="000000"/>
              <w:right w:val="single" w:sz="6" w:space="0" w:color="000000"/>
            </w:tcBorders>
          </w:tcPr>
          <w:p>
            <w:pPr>
              <w:pStyle w:val="Normal"/>
              <w:keepNext w:val="true"/>
              <w:keepLines/>
              <w:widowControl w:val="false"/>
              <w:spacing w:lineRule="auto" w:line="276" w:before="160" w:after="80"/>
              <w:rPr>
                <w:b/>
                <w:b/>
                <w:bCs/>
                <w:lang w:val="en-US"/>
              </w:rPr>
            </w:pPr>
            <w:r>
              <w:rPr/>
              <w:t>16.00%</w:t>
            </w:r>
          </w:p>
        </w:tc>
      </w:tr>
      <w:tr>
        <w:trPr>
          <w:trHeight w:val="705" w:hRule="atLeast"/>
        </w:trPr>
        <w:tc>
          <w:tcPr>
            <w:tcW w:w="2299"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Permanent Workers</w:t>
            </w:r>
          </w:p>
        </w:tc>
        <w:tc>
          <w:tcPr>
            <w:tcW w:w="810"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6.05%</w:t>
            </w:r>
          </w:p>
        </w:tc>
        <w:tc>
          <w:tcPr>
            <w:tcW w:w="94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6.05%</w:t>
            </w:r>
          </w:p>
        </w:tc>
        <w:tc>
          <w:tcPr>
            <w:tcW w:w="812"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N/A</w:t>
            </w:r>
          </w:p>
        </w:tc>
        <w:tc>
          <w:tcPr>
            <w:tcW w:w="94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5.92%</w:t>
            </w:r>
          </w:p>
        </w:tc>
        <w:tc>
          <w:tcPr>
            <w:tcW w:w="944"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NA</w:t>
            </w:r>
          </w:p>
        </w:tc>
        <w:tc>
          <w:tcPr>
            <w:tcW w:w="94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76" w:before="160" w:after="80"/>
              <w:rPr>
                <w:b/>
                <w:b/>
                <w:bCs/>
                <w:lang w:val="en-US"/>
              </w:rPr>
            </w:pPr>
            <w:r>
              <w:rPr>
                <w:b/>
                <w:bCs/>
                <w:lang w:val="en-US"/>
              </w:rPr>
              <w:t>5.92%</w:t>
            </w:r>
          </w:p>
        </w:tc>
        <w:tc>
          <w:tcPr>
            <w:tcW w:w="810" w:type="dxa"/>
            <w:tcBorders>
              <w:top w:val="single" w:sz="6" w:space="0" w:color="000000"/>
              <w:left w:val="single" w:sz="6" w:space="0" w:color="000000"/>
              <w:bottom w:val="single" w:sz="6" w:space="0" w:color="000000"/>
              <w:right w:val="single" w:sz="6" w:space="0" w:color="000000"/>
            </w:tcBorders>
          </w:tcPr>
          <w:p>
            <w:pPr>
              <w:pStyle w:val="Normal"/>
              <w:keepNext w:val="true"/>
              <w:keepLines/>
              <w:widowControl w:val="false"/>
              <w:spacing w:lineRule="auto" w:line="276" w:before="160" w:after="80"/>
              <w:rPr>
                <w:b/>
                <w:b/>
                <w:bCs/>
                <w:lang w:val="en-US"/>
              </w:rPr>
            </w:pPr>
            <w:r>
              <w:rPr/>
              <w:t>8.71%</w:t>
            </w:r>
          </w:p>
        </w:tc>
        <w:tc>
          <w:tcPr>
            <w:tcW w:w="946" w:type="dxa"/>
            <w:tcBorders>
              <w:top w:val="single" w:sz="6" w:space="0" w:color="000000"/>
              <w:left w:val="single" w:sz="6" w:space="0" w:color="000000"/>
              <w:bottom w:val="single" w:sz="6" w:space="0" w:color="000000"/>
              <w:right w:val="single" w:sz="6" w:space="0" w:color="000000"/>
            </w:tcBorders>
          </w:tcPr>
          <w:p>
            <w:pPr>
              <w:pStyle w:val="Normal"/>
              <w:keepNext w:val="true"/>
              <w:keepLines/>
              <w:widowControl w:val="false"/>
              <w:spacing w:lineRule="auto" w:line="276" w:before="160" w:after="80"/>
              <w:rPr>
                <w:b/>
                <w:b/>
                <w:bCs/>
                <w:lang w:val="en-US"/>
              </w:rPr>
            </w:pPr>
            <w:r>
              <w:rPr>
                <w:b/>
                <w:bCs/>
                <w:lang w:val="en-US"/>
              </w:rPr>
              <w:t>NA</w:t>
            </w:r>
          </w:p>
        </w:tc>
        <w:tc>
          <w:tcPr>
            <w:tcW w:w="1076" w:type="dxa"/>
            <w:tcBorders>
              <w:top w:val="single" w:sz="6" w:space="0" w:color="000000"/>
              <w:left w:val="single" w:sz="6" w:space="0" w:color="000000"/>
              <w:bottom w:val="single" w:sz="6" w:space="0" w:color="000000"/>
              <w:right w:val="single" w:sz="6" w:space="0" w:color="000000"/>
            </w:tcBorders>
          </w:tcPr>
          <w:p>
            <w:pPr>
              <w:pStyle w:val="Normal"/>
              <w:keepNext w:val="true"/>
              <w:keepLines/>
              <w:widowControl w:val="false"/>
              <w:spacing w:lineRule="auto" w:line="276" w:before="160" w:after="80"/>
              <w:rPr>
                <w:b/>
                <w:b/>
                <w:bCs/>
                <w:lang w:val="en-US"/>
              </w:rPr>
            </w:pPr>
            <w:r>
              <w:rPr/>
              <w:t>8.71%</w:t>
            </w:r>
          </w:p>
        </w:tc>
      </w:tr>
    </w:tbl>
    <w:p>
      <w:pPr>
        <w:pStyle w:val="Normal"/>
        <w:keepNext w:val="true"/>
        <w:keepLines/>
        <w:spacing w:lineRule="auto" w:line="276" w:before="160" w:after="80"/>
        <w:rPr>
          <w:b/>
          <w:b/>
          <w:bCs/>
          <w:highlight w:val="yellow"/>
        </w:rPr>
      </w:pPr>
      <w:r>
        <w:rPr>
          <w:b/>
          <w:bCs/>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Note: Turnover includes retirals and entity transfer</w:t>
      </w:r>
    </w:p>
    <w:p>
      <w:pPr>
        <w:pStyle w:val="Normal"/>
        <w:spacing w:before="0" w:after="160"/>
        <w:rPr/>
      </w:pPr>
      <w:r>
        <w:rPr/>
      </w:r>
    </w:p>
    <w:p>
      <w:pPr>
        <w:pStyle w:val="Normal"/>
        <w:keepNext w:val="true"/>
        <w:keepLines/>
        <w:pBdr>
          <w:bottom w:val="single" w:sz="4" w:space="4" w:color="E5E5E5"/>
        </w:pBdr>
        <w:spacing w:lineRule="auto" w:line="276" w:before="200" w:after="140"/>
        <w:rPr/>
      </w:pPr>
      <w:r>
        <w:rPr>
          <w:b/>
          <w:bCs/>
        </w:rPr>
        <w:t>V. Holding, Subsidiary and Associate Companies (including joint ventures)</w:t>
      </w:r>
    </w:p>
    <w:p>
      <w:pPr>
        <w:pStyle w:val="Normal"/>
        <w:keepNext w:val="true"/>
        <w:keepLines/>
        <w:spacing w:lineRule="auto" w:line="276" w:before="160" w:after="80"/>
        <w:rPr/>
      </w:pPr>
      <w:r>
        <w:rPr>
          <w:b/>
          <w:bCs/>
        </w:rPr>
        <w:t>23. Holding, Subsidiary and Associate Companies (including joint ventures)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064"/>
        <w:gridCol w:w="3065"/>
        <w:gridCol w:w="1342"/>
        <w:gridCol w:w="3064"/>
      </w:tblGrid>
      <w:tr>
        <w:trPr>
          <w:tblHeader w:val="true"/>
        </w:trPr>
        <w:tc>
          <w:tcPr>
            <w:tcW w:w="3064"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of the holding / subsidiary/associate companies/joint ventures (A)</w:t>
            </w:r>
          </w:p>
        </w:tc>
        <w:tc>
          <w:tcPr>
            <w:tcW w:w="306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Indicate whether holding/Subsidiary/Associate/Joint Venture</w:t>
            </w:r>
          </w:p>
        </w:tc>
        <w:tc>
          <w:tcPr>
            <w:tcW w:w="134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of shares held by listed entity</w:t>
            </w:r>
          </w:p>
        </w:tc>
        <w:tc>
          <w:tcPr>
            <w:tcW w:w="3064"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Does the entity indicated at column A, participate in the Business Responsibility initiatives of the listed entity? (Yes/No)</w:t>
            </w:r>
          </w:p>
        </w:tc>
      </w:tr>
      <w:tr>
        <w:trPr/>
        <w:tc>
          <w:tcPr>
            <w:tcW w:w="3064" w:type="dxa"/>
            <w:tcBorders>
              <w:top w:val="single" w:sz="6" w:space="0" w:color="000000"/>
              <w:bottom w:val="single" w:sz="6" w:space="0" w:color="000000"/>
              <w:right w:val="single" w:sz="6" w:space="0" w:color="000000"/>
            </w:tcBorders>
          </w:tcPr>
          <w:p>
            <w:pPr>
              <w:pStyle w:val="Normal"/>
              <w:widowControl w:val="false"/>
              <w:spacing w:lineRule="auto" w:line="264"/>
              <w:rPr/>
            </w:pPr>
            <w:r>
              <w:rPr/>
              <w:t>Kennametal Inc., USA</w:t>
            </w:r>
          </w:p>
        </w:tc>
        <w:tc>
          <w:tcPr>
            <w:tcW w:w="30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Holding</w:t>
            </w:r>
          </w:p>
        </w:tc>
        <w:tc>
          <w:tcPr>
            <w:tcW w:w="134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24</w:t>
            </w:r>
          </w:p>
        </w:tc>
        <w:tc>
          <w:tcPr>
            <w:tcW w:w="3064" w:type="dxa"/>
            <w:tcBorders>
              <w:top w:val="single" w:sz="6" w:space="0" w:color="000000"/>
              <w:left w:val="single" w:sz="6" w:space="0" w:color="000000"/>
              <w:bottom w:val="single" w:sz="6" w:space="0" w:color="000000"/>
            </w:tcBorders>
          </w:tcPr>
          <w:p>
            <w:pPr>
              <w:pStyle w:val="Normal"/>
              <w:widowControl w:val="false"/>
              <w:spacing w:lineRule="auto" w:line="264"/>
              <w:rPr/>
            </w:pPr>
            <w:r>
              <w:rPr/>
              <w:t>Yes</w:t>
            </w:r>
          </w:p>
        </w:tc>
      </w:tr>
      <w:tr>
        <w:trPr/>
        <w:tc>
          <w:tcPr>
            <w:tcW w:w="3064" w:type="dxa"/>
            <w:tcBorders>
              <w:top w:val="single" w:sz="6" w:space="0" w:color="000000"/>
              <w:bottom w:val="single" w:sz="6" w:space="0" w:color="000000"/>
              <w:right w:val="single" w:sz="6" w:space="0" w:color="000000"/>
            </w:tcBorders>
          </w:tcPr>
          <w:p>
            <w:pPr>
              <w:pStyle w:val="Normal"/>
              <w:widowControl w:val="false"/>
              <w:spacing w:lineRule="auto" w:line="264"/>
              <w:rPr/>
            </w:pPr>
            <w:r>
              <w:rPr/>
              <w:t>Meturit A.G., Switzerland*</w:t>
            </w:r>
          </w:p>
        </w:tc>
        <w:tc>
          <w:tcPr>
            <w:tcW w:w="30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Holding</w:t>
            </w:r>
          </w:p>
        </w:tc>
        <w:tc>
          <w:tcPr>
            <w:tcW w:w="134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51</w:t>
            </w:r>
          </w:p>
        </w:tc>
        <w:tc>
          <w:tcPr>
            <w:tcW w:w="3064" w:type="dxa"/>
            <w:tcBorders>
              <w:top w:val="single" w:sz="6" w:space="0" w:color="000000"/>
              <w:left w:val="single" w:sz="6" w:space="0" w:color="000000"/>
              <w:bottom w:val="single" w:sz="6" w:space="0" w:color="000000"/>
            </w:tcBorders>
          </w:tcPr>
          <w:p>
            <w:pPr>
              <w:pStyle w:val="Normal"/>
              <w:widowControl w:val="false"/>
              <w:spacing w:lineRule="auto" w:line="264"/>
              <w:rPr/>
            </w:pPr>
            <w:r>
              <w:rPr/>
              <w:t>Yes</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Note: The ultimate holding company of Meturit A.G., Zug, Switzerland is Kennametal Inc., USA that also participates in the BRSR activities of KIL. Kennametal Inc. USA holds 24% and Meturit A.G., Zug, Switzerland holds 51% equity shares in Kennametal India Limited.</w:t>
      </w:r>
    </w:p>
    <w:p>
      <w:pPr>
        <w:pStyle w:val="Normal"/>
        <w:spacing w:before="0" w:after="160"/>
        <w:rPr>
          <w:highlight w:val="yellow"/>
        </w:rPr>
      </w:pPr>
      <w:r>
        <w:rPr>
          <w:highlight w:val="yellow"/>
        </w:rPr>
      </w:r>
    </w:p>
    <w:p>
      <w:pPr>
        <w:pStyle w:val="Normal"/>
        <w:keepNext w:val="true"/>
        <w:keepLines/>
        <w:pBdr>
          <w:bottom w:val="single" w:sz="4" w:space="4" w:color="E5E5E5"/>
        </w:pBdr>
        <w:spacing w:lineRule="auto" w:line="276" w:before="200" w:after="140"/>
        <w:rPr/>
      </w:pPr>
      <w:r>
        <w:rPr>
          <w:b/>
          <w:bCs/>
        </w:rPr>
        <w:t>VI. CSR Details</w:t>
      </w:r>
    </w:p>
    <w:p>
      <w:pPr>
        <w:pStyle w:val="Normal"/>
        <w:keepNext w:val="true"/>
        <w:keepLines/>
        <w:spacing w:lineRule="auto" w:line="276" w:before="160" w:after="80"/>
        <w:rPr/>
      </w:pPr>
      <w:r>
        <w:rPr>
          <w:b/>
          <w:bCs/>
        </w:rPr>
        <w:t>24. CSR Details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7735"/>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73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Response</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 Whether CSR is applicable as per section 135 of Companies Act, 2013: (Yes/No)</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Yes</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 Turnover (in Rs.)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11,703,000,000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(iii) Net worth (in Rs.)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7,473,000,000</w:t>
            </w:r>
          </w:p>
        </w:tc>
      </w:tr>
    </w:tbl>
    <w:p>
      <w:pPr>
        <w:pStyle w:val="Normal"/>
        <w:spacing w:before="0" w:after="120"/>
        <w:rPr>
          <w:highlight w:val="yellow"/>
        </w:rPr>
      </w:pPr>
      <w:r>
        <w:rPr>
          <w:highlight w:val="yellow"/>
        </w:rPr>
      </w:r>
    </w:p>
    <w:p>
      <w:pPr>
        <w:pStyle w:val="Normal"/>
        <w:spacing w:before="0" w:after="160"/>
        <w:rPr>
          <w:highlight w:val="yellow"/>
        </w:rPr>
      </w:pPr>
      <w:r>
        <w:rPr>
          <w:highlight w:val="yellow"/>
        </w:rPr>
      </w:r>
    </w:p>
    <w:p>
      <w:pPr>
        <w:pStyle w:val="Normal"/>
        <w:keepNext w:val="true"/>
        <w:keepLines/>
        <w:pBdr>
          <w:bottom w:val="single" w:sz="4" w:space="4" w:color="E5E5E5"/>
        </w:pBdr>
        <w:spacing w:lineRule="auto" w:line="276" w:before="200" w:after="140"/>
        <w:rPr/>
      </w:pPr>
      <w:r>
        <w:rPr>
          <w:b/>
          <w:bCs/>
        </w:rPr>
        <w:t>VII. Transparency and Disclosures Compliances</w:t>
      </w:r>
    </w:p>
    <w:p>
      <w:pPr>
        <w:pStyle w:val="Normal"/>
        <w:keepNext w:val="true"/>
        <w:keepLines/>
        <w:spacing w:lineRule="auto" w:line="276" w:before="160" w:after="80"/>
        <w:rPr/>
      </w:pPr>
      <w:r>
        <w:rPr>
          <w:b/>
          <w:bCs/>
        </w:rPr>
        <w:t>25. Complaints/Grievances on any of the principles (Principles 1 to 9) under the National Guidelines on Responsible Business Conduct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60"/>
        <w:gridCol w:w="899"/>
        <w:gridCol w:w="1060"/>
        <w:gridCol w:w="880"/>
        <w:gridCol w:w="881"/>
        <w:gridCol w:w="1080"/>
        <w:gridCol w:w="880"/>
        <w:gridCol w:w="879"/>
        <w:gridCol w:w="2716"/>
      </w:tblGrid>
      <w:tr>
        <w:trPr>
          <w:tblHeader w:val="true"/>
        </w:trPr>
        <w:tc>
          <w:tcPr>
            <w:tcW w:w="126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Stakeholder group from whom complaint is received</w:t>
            </w:r>
          </w:p>
        </w:tc>
        <w:tc>
          <w:tcPr>
            <w:tcW w:w="1959"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Grievance Redressal Mechanism in Place (Yes/No) (If yes, provide web-link)</w:t>
            </w:r>
          </w:p>
        </w:tc>
        <w:tc>
          <w:tcPr>
            <w:tcW w:w="2841" w:type="dxa"/>
            <w:gridSpan w:val="3"/>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Current Financial Year</w:t>
            </w:r>
          </w:p>
        </w:tc>
        <w:tc>
          <w:tcPr>
            <w:tcW w:w="4475" w:type="dxa"/>
            <w:gridSpan w:val="3"/>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Previous Financial Year</w:t>
            </w:r>
          </w:p>
        </w:tc>
      </w:tr>
      <w:tr>
        <w:trPr>
          <w:tblHeader w:val="true"/>
        </w:trPr>
        <w:tc>
          <w:tcPr>
            <w:tcW w:w="126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8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Yes / No</w:t>
            </w:r>
          </w:p>
        </w:tc>
        <w:tc>
          <w:tcPr>
            <w:tcW w:w="106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Web-link</w:t>
            </w:r>
          </w:p>
        </w:tc>
        <w:tc>
          <w:tcPr>
            <w:tcW w:w="8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filed during the year</w:t>
            </w:r>
          </w:p>
        </w:tc>
        <w:tc>
          <w:tcPr>
            <w:tcW w:w="88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close of year</w:t>
            </w:r>
          </w:p>
        </w:tc>
        <w:tc>
          <w:tcPr>
            <w:tcW w:w="10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Remarks</w:t>
            </w:r>
          </w:p>
        </w:tc>
        <w:tc>
          <w:tcPr>
            <w:tcW w:w="88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filed during the year</w:t>
            </w:r>
          </w:p>
        </w:tc>
        <w:tc>
          <w:tcPr>
            <w:tcW w:w="87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close of year</w:t>
            </w:r>
          </w:p>
        </w:tc>
        <w:tc>
          <w:tcPr>
            <w:tcW w:w="271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Remarks</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Communities</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https://www.kennametal.com/in/en/about-us/kil-financials/policies.html</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Investors (other than shareholders)</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hyperlink r:id="rId3">
              <w:r>
                <w:rPr>
                  <w:rStyle w:val="InternetLink"/>
                </w:rPr>
                <w:t>https://www.kennametal.com/in/en/about-us/kil-financials/policies.html</w:t>
              </w:r>
            </w:hyperlink>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Shareholders</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hyperlink r:id="rId4">
              <w:r>
                <w:rPr>
                  <w:rStyle w:val="InternetLink"/>
                </w:rPr>
                <w:t>https://www.kennametal.com/in/en/about-us/kil-financials/policies.html</w:t>
              </w:r>
            </w:hyperlink>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The investor complaint was received in June 2025 and was resolved by the Company on July 3, 2025</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The investor complaint was received in June 2025 and was resolved by the Company on July 3, 2025</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Employees and workers</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https://www.kennametal.com/in/en/about-us/kil-financials/policies.html</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25</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13</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Customers</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https://www.kennametal.com/in/en/about-us/kil-financials/policies.html</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735</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41</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656</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31</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Value Chain Partners</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https://www.kennametal.com/in/en/about-us/kil-financials/policies.html</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464</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28</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174</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15</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Nil</w:t>
            </w:r>
          </w:p>
        </w:tc>
      </w:tr>
      <w:tr>
        <w:trPr/>
        <w:tc>
          <w:tcPr>
            <w:tcW w:w="126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Other (please specify)</w:t>
            </w:r>
          </w:p>
        </w:tc>
        <w:tc>
          <w:tcPr>
            <w:tcW w:w="8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106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8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10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w:t>
            </w:r>
          </w:p>
        </w:tc>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87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2716" w:type="dxa"/>
            <w:tcBorders>
              <w:top w:val="single" w:sz="6" w:space="0" w:color="000000"/>
              <w:left w:val="single" w:sz="6" w:space="0" w:color="000000"/>
              <w:bottom w:val="single" w:sz="6" w:space="0" w:color="000000"/>
            </w:tcBorders>
          </w:tcPr>
          <w:p>
            <w:pPr>
              <w:pStyle w:val="Normal"/>
              <w:widowControl w:val="false"/>
              <w:spacing w:lineRule="auto" w:line="264"/>
              <w:rPr/>
            </w:pPr>
            <w:r>
              <w:rPr/>
              <w:t>-</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Note: All complaints received from employees &amp; workers are considered here excluding the health and safety complaints which have been separately mentioned under the section Question 13 of Principle 3 (Businesses should respect and promote the well-being of all employees, including those in their value chains).</w:t>
      </w:r>
    </w:p>
    <w:p>
      <w:pPr>
        <w:pStyle w:val="Normal"/>
        <w:keepNext w:val="true"/>
        <w:keepLines/>
        <w:spacing w:lineRule="auto" w:line="276" w:before="160" w:after="80"/>
        <w:rPr/>
      </w:pPr>
      <w:r>
        <w:rPr>
          <w:b/>
          <w:bCs/>
        </w:rPr>
        <w:t>26. Overview of the entity’s material responsible business conduct issues - Please indicate material responsible business conduct and sustainability issues pertaining to environmental and social matters that present a risk or an opportunity to your business, rationale for identifying the same, approach to adapt or mitigate the risk along-with its financial implications, as per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107"/>
        <w:gridCol w:w="2107"/>
        <w:gridCol w:w="2107"/>
        <w:gridCol w:w="2107"/>
        <w:gridCol w:w="2108"/>
      </w:tblGrid>
      <w:tr>
        <w:trPr>
          <w:tblHeader w:val="true"/>
        </w:trPr>
        <w:tc>
          <w:tcPr>
            <w:tcW w:w="2107" w:type="dxa"/>
            <w:tcBorders>
              <w:top w:val="single" w:sz="6" w:space="0" w:color="000000"/>
              <w:bottom w:val="single" w:sz="6" w:space="0" w:color="000000"/>
              <w:right w:val="single" w:sz="6" w:space="0" w:color="000000"/>
            </w:tcBorders>
            <w:vAlign w:val="center"/>
          </w:tcPr>
          <w:p>
            <w:pPr>
              <w:pStyle w:val="Normal"/>
              <w:widowControl w:val="false"/>
              <w:spacing w:lineRule="auto" w:line="264"/>
              <w:rPr/>
            </w:pPr>
            <w:r>
              <w:rPr>
                <w:b/>
                <w:bCs/>
              </w:rPr>
              <w:t>Material issue identified</w:t>
            </w:r>
          </w:p>
        </w:tc>
        <w:tc>
          <w:tcPr>
            <w:tcW w:w="2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pPr>
            <w:r>
              <w:rPr>
                <w:b/>
                <w:bCs/>
              </w:rPr>
              <w:t>Indicate whether risk or opportunity (R/O)</w:t>
            </w:r>
          </w:p>
        </w:tc>
        <w:tc>
          <w:tcPr>
            <w:tcW w:w="2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pPr>
            <w:r>
              <w:rPr>
                <w:b/>
                <w:bCs/>
              </w:rPr>
              <w:t>Rationale for identifying the risk / opportunity</w:t>
            </w:r>
          </w:p>
        </w:tc>
        <w:tc>
          <w:tcPr>
            <w:tcW w:w="21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pPr>
            <w:r>
              <w:rPr>
                <w:b/>
                <w:bCs/>
              </w:rPr>
              <w:t>In case of risk, approach to adapt or mitigate</w:t>
            </w:r>
          </w:p>
        </w:tc>
        <w:tc>
          <w:tcPr>
            <w:tcW w:w="2108" w:type="dxa"/>
            <w:tcBorders>
              <w:top w:val="single" w:sz="6" w:space="0" w:color="000000"/>
              <w:left w:val="single" w:sz="6" w:space="0" w:color="000000"/>
              <w:bottom w:val="single" w:sz="6" w:space="0" w:color="000000"/>
            </w:tcBorders>
            <w:vAlign w:val="center"/>
          </w:tcPr>
          <w:p>
            <w:pPr>
              <w:pStyle w:val="Normal"/>
              <w:widowControl w:val="false"/>
              <w:spacing w:lineRule="auto" w:line="264"/>
              <w:rPr/>
            </w:pPr>
            <w:r>
              <w:rPr>
                <w:b/>
                <w:bCs/>
              </w:rPr>
              <w:t>Financial implications of the risk or opportunity (Indicate positive or negative implications)</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Energy</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Opportunity * Transition to green energy is expected to reduce overall Greenhouse Gas emissions and energy costs in the long run.</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KIL is partially reliant on grid power and sources renewable energy through Power Purchase Agreements (PPAs). The consumption is bound to increase to meet the growing market demands, which would impact its energy efficiency. The reliance on grid energy consumption is a potential risk to business in case of grid-outage/browning of grid.</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The company seeks to continuously enhance its systems and processes along with the transition to green energy consumption, thus ensuring an increase in its energy efficiency. During the year, the company increased its solar energy consumption to ~91% from 86% in the previous year</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Positive</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Occupational Health and Safety (OHS)</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Risk and Opportunity * Health and Safety hazards are intrinsic to the engineering industry. Despite implemented systems and controls by KIL, any slippage can result into an incident and injury.</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The health, safety, and well-being of employees is of paramount importance to KIL. The company has implemented safety management systems and initiatives in line with the best industry standards. Considering the intrinsic nature of the material issue, OHS is an ever-prevailing risk. There is always a possibility of slippage in the compliance to systems and controls considering the business and external circumstances. Any fatality or cases of serious injuries due to workplace issues would have a direct negative impact to business sustenance</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The Company conducts hazard identiﬁcation and risk assessment (HIRA) and Job Safety Assessment (JSA) as per international standards to identify potential risks per job/role. This enables KIL to develop adequate corrective and preventive measures in creating an employee safe workplace. The company has established robust mechanisms to enhance safety standards such as fall protection mitigation, rigor in the usage of various safety tools, AI based safety controls for all Power Industrial Vehicles, celebrating Safety Month and other important days to recognize and create awareness on the importance of safety.</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Positive and Negative</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Product Safety and Quality</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Risk. * KIL products are used as key components in aerospace, earthworks, energy, general engineering, and transportation industries. * While KIL has implemented a quality management system consistent with global and industry standards, any rare incident of slippage can impact customers.</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KIL products can impact the performance of critical components and processes of customers from aerospace, earthworks, energy, general engineering, and transportation industries. Bearing this in mind, KIL has long brought into effect robust mechanisms to ensure consistent global quality. At the same time, KIL focuses on continuous improvement while maintaining consistent product safety standards. Any deviation in product quality or minor lapse in product safety would result in loss of customers and impact the business.</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The company adheres to global standards of quality management. This would augment its product quality and in-turn its safety while also contributing to business growth. The company has invested in technology, equipment, and people to build capabilities, better serve customers, compete, and grow. It has established a Quality Clinic that enables the team to address customer complaints faster while also conducting proactive outreach to mitigate any issues.</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Negative</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Employee engagement &amp; wellbeing</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Opportunity * Close engagement with the workforce has helped to build a strong relationship between management and the workforce. This is expected to further help retain skilled employees and attract talent.</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Employee well-being is critical to business operations and productivity. Multiple facets of employee well being are adequately managed and incorporated by the company in various employee-centric initiatives. A highly productive workforce would augment business growth.</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The company continues to implement employee-centric initiatives such as periodic health check-ups, regular leadership communication, People Development Council to retain and grow the talent pool, engaging employees through Reward and Recognition programs, celebration of important days, sports tournaments, and cultural activities – all aimed at ensuring a vibrant workforce, propelling its business growth.</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Positive</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Diversity &amp; Equal Opportunity</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Opportunity * To attract broader pool of talent and contribute to employee satisfaction and retention.</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KIL seeks to foster an inclusive and diverse workplace that organically propels business growth. KIL embraces diversity in its entirety to tap innovative ideas and new opportunities. It strives to be an equal opportunity provider, thus instilling a work culture underpinned by a sense of belonging, fairness, and equity. Through its approach towards diversity &amp; equal opportunity, it seeks to achieve operational efficiency</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The company continues to implement and actively embrace diversity, equity, and inclusion through the pillars of “Acquisition”, “Awareness”, “Development” and “Community” to be an equal opportunity provider. During the year, the company steered various initiatives that has been highlighted in the message from the Managing Director in the Annual Report on page no. 14.</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Positive</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Ethics and Compliance</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Risk * The intrinsic nature of this material issue has the potential of severe consequences in the event of minor deviation from protocols. * While KIL has a strong Code of Conduct and ethics for employees, suppliers and senior management, there can be a possibility of slippage due to external environment issues beyond the control of the organization</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KIL holds itself accountable for all relevant ethical and compliance requirements, as it is ingrained in its business ethos. The company is mindful that these matters pose significant reputational risks and raise questions on the organizational conduct with respect to integrity, business relationship problems, conflicts of interest, etc.</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KIL adheres to strong ethical standards of integrity. Its Board of Directors, top management, and workers follow a strict code of conduct and ethics. An effective surveillance mechanism and a whistle blower policy are in place to guarantee that such regulations are properly followed. The company continues to periodically and scrupulously monitor inconsistencies and non-alignment pertaining to relevant ethics and compliance requirements.</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Negative</w:t>
            </w:r>
          </w:p>
        </w:tc>
      </w:tr>
      <w:tr>
        <w:trPr/>
        <w:tc>
          <w:tcPr>
            <w:tcW w:w="2107" w:type="dxa"/>
            <w:tcBorders>
              <w:top w:val="single" w:sz="6" w:space="0" w:color="000000"/>
              <w:bottom w:val="single" w:sz="6" w:space="0" w:color="000000"/>
              <w:right w:val="single" w:sz="6" w:space="0" w:color="000000"/>
            </w:tcBorders>
          </w:tcPr>
          <w:p>
            <w:pPr>
              <w:pStyle w:val="Normal"/>
              <w:widowControl w:val="false"/>
              <w:spacing w:lineRule="auto" w:line="264"/>
              <w:rPr/>
            </w:pPr>
            <w:r>
              <w:rPr/>
              <w:t>Data security and information security</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Risk * This is an evolving global risk, and the organization keeps assessing its vulnerability from time to time.</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KIL maintains compliance with global and local regulations with respect to data privacy, as any deviations would result in legal, reputational, and financial implications. As is the case with most manufacturing organizations, the company is exposed to ever-emerging IT risks in its operations, including R&amp;D and patents, design of engineering processes, etc.</w:t>
            </w:r>
          </w:p>
        </w:tc>
        <w:tc>
          <w:tcPr>
            <w:tcW w:w="2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As a business process, the company ensures adherence to the global policy https://www.kennametal.com/in/en/a bout-us/data-privacy.html along with global monitoring of data privacy and cyber security, to avoid any misalignment.</w:t>
            </w:r>
          </w:p>
        </w:tc>
        <w:tc>
          <w:tcPr>
            <w:tcW w:w="2108" w:type="dxa"/>
            <w:tcBorders>
              <w:top w:val="single" w:sz="6" w:space="0" w:color="000000"/>
              <w:left w:val="single" w:sz="6" w:space="0" w:color="000000"/>
              <w:bottom w:val="single" w:sz="6" w:space="0" w:color="000000"/>
            </w:tcBorders>
          </w:tcPr>
          <w:p>
            <w:pPr>
              <w:pStyle w:val="Normal"/>
              <w:widowControl w:val="false"/>
              <w:spacing w:lineRule="auto" w:line="264"/>
              <w:rPr/>
            </w:pPr>
            <w:r>
              <w:rPr/>
              <w:t>Negative</w:t>
            </w:r>
          </w:p>
        </w:tc>
      </w:tr>
    </w:tbl>
    <w:p>
      <w:pPr>
        <w:pStyle w:val="Normal"/>
        <w:spacing w:before="0" w:after="120"/>
        <w:rPr>
          <w:highlight w:val="yellow"/>
        </w:rPr>
      </w:pPr>
      <w:r>
        <w:rPr>
          <w:highlight w:val="yellow"/>
        </w:rPr>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Section B: Management and process disclosures</w:t>
      </w:r>
    </w:p>
    <w:p>
      <w:pPr>
        <w:pStyle w:val="Normal"/>
        <w:keepNext w:val="true"/>
        <w:keepLines/>
        <w:pBdr>
          <w:bottom w:val="single" w:sz="4" w:space="4" w:color="E5E5E5"/>
        </w:pBdr>
        <w:spacing w:lineRule="auto" w:line="276" w:before="200" w:after="140"/>
        <w:rPr/>
      </w:pPr>
      <w:r>
        <w:rPr>
          <w:b/>
          <w:bCs/>
        </w:rPr>
        <w:t>Disclosure Questions</w:t>
      </w:r>
    </w:p>
    <w:p>
      <w:pPr>
        <w:pStyle w:val="Normal"/>
        <w:keepNext w:val="true"/>
        <w:keepLines/>
        <w:spacing w:lineRule="auto" w:line="276" w:before="160" w:after="80"/>
        <w:rPr/>
      </w:pPr>
      <w:r>
        <w:rPr>
          <w:b/>
          <w:bCs/>
        </w:rPr>
        <w:t>1. Policy and Management Processes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996"/>
        <w:gridCol w:w="731"/>
        <w:gridCol w:w="727"/>
        <w:gridCol w:w="726"/>
        <w:gridCol w:w="726"/>
        <w:gridCol w:w="726"/>
        <w:gridCol w:w="726"/>
        <w:gridCol w:w="726"/>
        <w:gridCol w:w="726"/>
        <w:gridCol w:w="725"/>
      </w:tblGrid>
      <w:tr>
        <w:trPr>
          <w:tblHeader w:val="true"/>
        </w:trPr>
        <w:tc>
          <w:tcPr>
            <w:tcW w:w="3996"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Disclosure Questions</w:t>
            </w:r>
          </w:p>
        </w:tc>
        <w:tc>
          <w:tcPr>
            <w:tcW w:w="7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P1</w:t>
            </w:r>
          </w:p>
        </w:tc>
        <w:tc>
          <w:tcPr>
            <w:tcW w:w="7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P2</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P3</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P4</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P5</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P6</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P7</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P8</w:t>
            </w:r>
          </w:p>
        </w:tc>
        <w:tc>
          <w:tcPr>
            <w:tcW w:w="72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P9</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1. a. Whether your entity’s policy/policies cover each principle and its core elements of the NGRBCs. (Yes/No)</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Yes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b. Has the policy been approved by the Board? (Yes/No)</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Yes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c. Web Link of the Policies, if available</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rPr/>
            </w:pPr>
            <w:hyperlink r:id="rId5">
              <w:r>
                <w:rPr>
                  <w:rStyle w:val="InternetLink"/>
                </w:rPr>
                <w:t>https://www.kennametal.com/in/en/about-us/kil-financials/policies.html</w:t>
              </w:r>
            </w:hyperlink>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2. Whether the entity has translated the policy into procedures. (Yes / No)</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Yes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3. Do the enlisted policies extend to your value chain partners? (Yes/No)</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Yes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4. Name of the national and international codes/certifications/labels/ standards (e.g. Forest Stewardship Council, Fairtrade, Rainforest Alliance, Trustee) standards (e.g. SA 8000, OHSAS, ISO, BIS) adopted by your entity and mapped to each principle.</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ISO 45001</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ISO 14001</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ISO 9001</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5. Specific commitments, goals and targets set by the entity with defined timelines, if any.</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rPr/>
            </w:pPr>
            <w:r>
              <w:rPr/>
              <w:t>As of date, we have not defined any specific ESG commitments.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6. Performance of the entity against the specific commitments, goals and targets along-with reasons in case the same are not met.</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 Governance, leadership and oversight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7735"/>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73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Response</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7. Statement by director responsible for the business responsibility report, highlighting ESG related challenges, targets and achievements (listed entity has flexibility regarding the placement of this disclosure)</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This will be covered in the Managing Director’s message in the Annual Report.</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8. Details of the highest authority responsible for implementation and oversight of the Business Responsibility policy (ies).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The ESG Committee of Board of Directors monitors the implementation of the Business Responsibility (BR) policies. The Managing Director of the Company is the highest authority responsible for implementation and oversight of the Business Responsibility policy(ies).</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9. Does the entity have a specified Committee of the Board/ Director responsible for decision making on sustainability related issues? (Yes / No).</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Yes, an ESG committee of the Board of Directors has been constituted comprising five Directors – responsible for decision making on sustainability related issues.</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If yes, provide details.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10(a). Details of Review of NGRBCs by the Company - Indicate whether review was undertaken by Director/Committee of the Board/Any other Committee</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996"/>
        <w:gridCol w:w="731"/>
        <w:gridCol w:w="727"/>
        <w:gridCol w:w="726"/>
        <w:gridCol w:w="726"/>
        <w:gridCol w:w="726"/>
        <w:gridCol w:w="726"/>
        <w:gridCol w:w="726"/>
        <w:gridCol w:w="726"/>
        <w:gridCol w:w="725"/>
      </w:tblGrid>
      <w:tr>
        <w:trPr>
          <w:tblHeader w:val="true"/>
        </w:trPr>
        <w:tc>
          <w:tcPr>
            <w:tcW w:w="3996"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Disclosure Questions</w:t>
            </w:r>
          </w:p>
        </w:tc>
        <w:tc>
          <w:tcPr>
            <w:tcW w:w="7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P1</w:t>
            </w:r>
          </w:p>
        </w:tc>
        <w:tc>
          <w:tcPr>
            <w:tcW w:w="7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P2</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P3</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P4</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P5</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P6</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P7</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P8</w:t>
            </w:r>
          </w:p>
        </w:tc>
        <w:tc>
          <w:tcPr>
            <w:tcW w:w="72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P9</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Performance against above policies and follow up action</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Yes</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Yes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Compliance with statutory requirements of relevance to the principles and rectification of any non-compliances</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rPr/>
            </w:pPr>
            <w:r>
              <w:rPr/>
              <w:t>Yes, Committee of the Board</w:t>
            </w:r>
          </w:p>
        </w:tc>
      </w:tr>
    </w:tbl>
    <w:p>
      <w:pPr>
        <w:pStyle w:val="Normal"/>
        <w:spacing w:before="0" w:after="120"/>
        <w:rPr/>
      </w:pPr>
      <w:r>
        <w:rPr/>
      </w:r>
    </w:p>
    <w:p>
      <w:pPr>
        <w:pStyle w:val="Normal"/>
        <w:keepNext w:val="true"/>
        <w:keepLines/>
        <w:spacing w:lineRule="auto" w:line="276" w:before="160" w:after="80"/>
        <w:rPr/>
      </w:pPr>
      <w:r>
        <w:rPr>
          <w:b/>
          <w:bCs/>
        </w:rPr>
        <w:t>10(b). Details of Review of NGRBCs by the Company - Frequency (Annually / Half yearly /Quarterly/ Any other-please specify)</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996"/>
        <w:gridCol w:w="731"/>
        <w:gridCol w:w="727"/>
        <w:gridCol w:w="726"/>
        <w:gridCol w:w="726"/>
        <w:gridCol w:w="726"/>
        <w:gridCol w:w="726"/>
        <w:gridCol w:w="726"/>
        <w:gridCol w:w="726"/>
        <w:gridCol w:w="725"/>
      </w:tblGrid>
      <w:tr>
        <w:trPr>
          <w:tblHeader w:val="true"/>
        </w:trPr>
        <w:tc>
          <w:tcPr>
            <w:tcW w:w="3996"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Disclosure Questions</w:t>
            </w:r>
          </w:p>
        </w:tc>
        <w:tc>
          <w:tcPr>
            <w:tcW w:w="7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P1</w:t>
            </w:r>
          </w:p>
        </w:tc>
        <w:tc>
          <w:tcPr>
            <w:tcW w:w="7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P2</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P3</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P4</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P5</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P6</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P7</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P8</w:t>
            </w:r>
          </w:p>
        </w:tc>
        <w:tc>
          <w:tcPr>
            <w:tcW w:w="72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P9</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Performance against above policies and follow up action</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rPr/>
            </w:pPr>
            <w:r>
              <w:rPr/>
              <w:t>Half yearly by the ESG Committee of the Board of Directors</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Compliance with statutory requirements of relevance to the principles and rectification of any non-compliances</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rPr/>
            </w:pPr>
            <w:r>
              <w:rPr/>
              <w:t>Half yearly for all Principles</w:t>
            </w:r>
          </w:p>
        </w:tc>
      </w:tr>
    </w:tbl>
    <w:p>
      <w:pPr>
        <w:pStyle w:val="Normal"/>
        <w:spacing w:before="0" w:after="120"/>
        <w:rPr/>
      </w:pPr>
      <w:r>
        <w:rPr/>
      </w:r>
    </w:p>
    <w:p>
      <w:pPr>
        <w:pStyle w:val="Normal"/>
        <w:keepNext w:val="true"/>
        <w:keepLines/>
        <w:spacing w:lineRule="auto" w:line="276" w:before="160" w:after="80"/>
        <w:rPr/>
      </w:pPr>
      <w:r>
        <w:rPr>
          <w:b/>
          <w:bCs/>
        </w:rPr>
        <w:t>11. Has the entity carried out independent assessment/ evaluation of the working of its policies by an external agency? (Yes/No). If yes, provide name of the agency.</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996"/>
        <w:gridCol w:w="731"/>
        <w:gridCol w:w="727"/>
        <w:gridCol w:w="726"/>
        <w:gridCol w:w="726"/>
        <w:gridCol w:w="726"/>
        <w:gridCol w:w="726"/>
        <w:gridCol w:w="726"/>
        <w:gridCol w:w="726"/>
        <w:gridCol w:w="725"/>
      </w:tblGrid>
      <w:tr>
        <w:trPr>
          <w:tblHeader w:val="true"/>
        </w:trPr>
        <w:tc>
          <w:tcPr>
            <w:tcW w:w="3996"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Disclosure Questions</w:t>
            </w:r>
          </w:p>
        </w:tc>
        <w:tc>
          <w:tcPr>
            <w:tcW w:w="7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P1</w:t>
            </w:r>
          </w:p>
        </w:tc>
        <w:tc>
          <w:tcPr>
            <w:tcW w:w="7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P2</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P3</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P4</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P5</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P6</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P7</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P8</w:t>
            </w:r>
          </w:p>
        </w:tc>
        <w:tc>
          <w:tcPr>
            <w:tcW w:w="72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P9</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Yes/No</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No</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Agency Name.</w:t>
            </w:r>
          </w:p>
        </w:tc>
        <w:tc>
          <w:tcPr>
            <w:tcW w:w="73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72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bl>
    <w:p>
      <w:pPr>
        <w:pStyle w:val="Normal"/>
        <w:spacing w:before="0" w:after="120"/>
        <w:rPr/>
      </w:pPr>
      <w:r>
        <w:rPr/>
      </w:r>
    </w:p>
    <w:p>
      <w:pPr>
        <w:pStyle w:val="Normal"/>
        <w:keepNext w:val="true"/>
        <w:keepLines/>
        <w:spacing w:lineRule="auto" w:line="276" w:before="160" w:after="80"/>
        <w:rPr/>
      </w:pPr>
      <w:r>
        <w:rPr>
          <w:b/>
          <w:bCs/>
        </w:rPr>
        <w:t>12. If answer to question (1) above is “No” i.e. not all Principles are covered by a policy, reasons to be stated:</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996"/>
        <w:gridCol w:w="731"/>
        <w:gridCol w:w="727"/>
        <w:gridCol w:w="726"/>
        <w:gridCol w:w="726"/>
        <w:gridCol w:w="726"/>
        <w:gridCol w:w="726"/>
        <w:gridCol w:w="726"/>
        <w:gridCol w:w="726"/>
        <w:gridCol w:w="725"/>
      </w:tblGrid>
      <w:tr>
        <w:trPr>
          <w:tblHeader w:val="true"/>
        </w:trPr>
        <w:tc>
          <w:tcPr>
            <w:tcW w:w="3996"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Disclosure Questions</w:t>
            </w:r>
          </w:p>
        </w:tc>
        <w:tc>
          <w:tcPr>
            <w:tcW w:w="73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P1</w:t>
            </w:r>
          </w:p>
        </w:tc>
        <w:tc>
          <w:tcPr>
            <w:tcW w:w="7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P2</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P3</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P4</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P5</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P6</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P7</w:t>
            </w:r>
          </w:p>
        </w:tc>
        <w:tc>
          <w:tcPr>
            <w:tcW w:w="7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P8</w:t>
            </w:r>
          </w:p>
        </w:tc>
        <w:tc>
          <w:tcPr>
            <w:tcW w:w="72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P9</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The entity does not consider the Principles material to its business (Yes/No)</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The entity is not at a stage where it is in a position to formulate and implement the policies on specified principles (Yes/No)</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The entity does not have the financial or/human and technical resources available for the task (Yes/No)</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It is planned to be done in the next financial year (Yes/No)</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3996"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Any other reason (please specify)</w:t>
            </w:r>
          </w:p>
        </w:tc>
        <w:tc>
          <w:tcPr>
            <w:tcW w:w="6539" w:type="dxa"/>
            <w:gridSpan w:val="9"/>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 applicable, as KIL has developed policies against each principle.</w:t>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Section C: Principle wise Performance Disclosure</w:t>
      </w:r>
    </w:p>
    <w:p>
      <w:pPr>
        <w:pStyle w:val="Normal"/>
        <w:keepNext w:val="true"/>
        <w:keepLines/>
        <w:pBdr>
          <w:bottom w:val="single" w:sz="4" w:space="4" w:color="E5E5E5"/>
        </w:pBdr>
        <w:spacing w:lineRule="auto" w:line="276" w:before="200" w:after="140"/>
        <w:rPr>
          <w:b/>
          <w:b/>
          <w:bCs/>
        </w:rPr>
      </w:pPr>
      <w:r>
        <w:rPr>
          <w:b/>
          <w:bCs/>
        </w:rPr>
        <w:t>Essential Indicators</w:t>
      </w:r>
    </w:p>
    <w:p>
      <w:pPr>
        <w:pStyle w:val="Normal"/>
        <w:keepNext w:val="true"/>
        <w:keepLines/>
        <w:pBdr>
          <w:bottom w:val="single" w:sz="4" w:space="4" w:color="E5E5E5"/>
        </w:pBdr>
        <w:spacing w:lineRule="auto" w:line="276" w:before="200" w:after="140"/>
        <w:rPr>
          <w:b/>
          <w:b/>
          <w:bCs/>
          <w:sz w:val="22"/>
          <w:szCs w:val="22"/>
        </w:rPr>
      </w:pPr>
      <w:r>
        <w:rPr>
          <w:b/>
          <w:bCs/>
          <w:sz w:val="22"/>
          <w:szCs w:val="22"/>
        </w:rPr>
        <w:t xml:space="preserve">Principle 1: Businesses should conduct and govern themselves with integrity, and in a manner that is Ethical, </w:t>
      </w:r>
    </w:p>
    <w:p>
      <w:pPr>
        <w:pStyle w:val="Normal"/>
        <w:keepNext w:val="true"/>
        <w:keepLines/>
        <w:pBdr>
          <w:bottom w:val="single" w:sz="4" w:space="4" w:color="E5E5E5"/>
        </w:pBdr>
        <w:spacing w:lineRule="auto" w:line="276" w:before="200" w:after="140"/>
        <w:rPr>
          <w:b/>
          <w:b/>
          <w:bCs/>
          <w:sz w:val="22"/>
          <w:szCs w:val="22"/>
        </w:rPr>
      </w:pPr>
      <w:r>
        <w:rPr>
          <w:b/>
          <w:bCs/>
          <w:sz w:val="22"/>
          <w:szCs w:val="22"/>
        </w:rPr>
        <w:t>Transparent and Accountable.</w:t>
      </w:r>
    </w:p>
    <w:p>
      <w:pPr>
        <w:pStyle w:val="Normal"/>
        <w:keepNext w:val="true"/>
        <w:keepLines/>
        <w:spacing w:lineRule="auto" w:line="276" w:before="160" w:after="80"/>
        <w:rPr/>
      </w:pPr>
      <w:r>
        <w:rPr>
          <w:b/>
          <w:bCs/>
        </w:rPr>
        <w:t>1. Percentage coverage by training and awareness programmes on any of the Principles during the financial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199"/>
        <w:gridCol w:w="1701"/>
        <w:gridCol w:w="3799"/>
        <w:gridCol w:w="2836"/>
      </w:tblGrid>
      <w:tr>
        <w:trPr>
          <w:tblHeader w:val="true"/>
        </w:trPr>
        <w:tc>
          <w:tcPr>
            <w:tcW w:w="2199"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Segment</w:t>
            </w:r>
          </w:p>
        </w:tc>
        <w:tc>
          <w:tcPr>
            <w:tcW w:w="17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number of training and awareness programmes held</w:t>
            </w:r>
          </w:p>
        </w:tc>
        <w:tc>
          <w:tcPr>
            <w:tcW w:w="37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Topics / Principles covered under the training</w:t>
            </w:r>
          </w:p>
        </w:tc>
        <w:tc>
          <w:tcPr>
            <w:tcW w:w="283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%age of persons in respective category covered by the awareness programmes</w:t>
            </w:r>
          </w:p>
        </w:tc>
      </w:tr>
      <w:tr>
        <w:trPr/>
        <w:tc>
          <w:tcPr>
            <w:tcW w:w="219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Board of Directors</w:t>
            </w:r>
          </w:p>
        </w:tc>
        <w:tc>
          <w:tcPr>
            <w:tcW w:w="170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w:t>
            </w:r>
          </w:p>
        </w:tc>
        <w:tc>
          <w:tcPr>
            <w:tcW w:w="37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P1, P3</w:t>
            </w:r>
          </w:p>
        </w:tc>
        <w:tc>
          <w:tcPr>
            <w:tcW w:w="28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50%</w:t>
            </w:r>
          </w:p>
        </w:tc>
      </w:tr>
      <w:tr>
        <w:trPr/>
        <w:tc>
          <w:tcPr>
            <w:tcW w:w="219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Key Managerial Personnel</w:t>
            </w:r>
          </w:p>
        </w:tc>
        <w:tc>
          <w:tcPr>
            <w:tcW w:w="170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12</w:t>
            </w:r>
          </w:p>
        </w:tc>
        <w:tc>
          <w:tcPr>
            <w:tcW w:w="37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P1, P2, P3, P5, P6</w:t>
            </w:r>
          </w:p>
        </w:tc>
        <w:tc>
          <w:tcPr>
            <w:tcW w:w="28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2199" w:type="dxa"/>
            <w:tcBorders>
              <w:top w:val="single" w:sz="6" w:space="0" w:color="000000"/>
              <w:bottom w:val="single" w:sz="6" w:space="0" w:color="000000"/>
              <w:right w:val="single" w:sz="6" w:space="0" w:color="000000"/>
            </w:tcBorders>
          </w:tcPr>
          <w:p>
            <w:pPr>
              <w:pStyle w:val="Normal"/>
              <w:widowControl w:val="false"/>
              <w:spacing w:lineRule="auto" w:line="264"/>
              <w:rPr>
                <w:highlight w:val="none"/>
                <w:shd w:fill="FFFFFF" w:val="clear"/>
              </w:rPr>
            </w:pPr>
            <w:r>
              <w:rPr>
                <w:b/>
                <w:bCs/>
                <w:shd w:fill="FFFFFF" w:val="clear"/>
              </w:rPr>
              <w:t>Employees other than BoD and KMPs</w:t>
            </w:r>
          </w:p>
        </w:tc>
        <w:tc>
          <w:tcPr>
            <w:tcW w:w="1701" w:type="dxa"/>
            <w:tcBorders>
              <w:top w:val="single" w:sz="6" w:space="0" w:color="000000"/>
              <w:bottom w:val="single" w:sz="6" w:space="0" w:color="000000"/>
            </w:tcBorders>
          </w:tcPr>
          <w:p>
            <w:pPr>
              <w:pStyle w:val="Normal"/>
              <w:widowControl w:val="false"/>
              <w:spacing w:lineRule="auto" w:line="264"/>
              <w:jc w:val="center"/>
              <w:rPr>
                <w:highlight w:val="none"/>
                <w:shd w:fill="FFFFFF" w:val="clear"/>
              </w:rPr>
            </w:pPr>
            <w:r>
              <w:rPr>
                <w:shd w:fill="FFFFFF" w:val="clear"/>
              </w:rPr>
              <w:t>369</w:t>
            </w:r>
          </w:p>
        </w:tc>
        <w:tc>
          <w:tcPr>
            <w:tcW w:w="37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none"/>
                <w:shd w:fill="FFFFFF" w:val="clear"/>
              </w:rPr>
            </w:pPr>
            <w:r>
              <w:rPr>
                <w:shd w:fill="FFFFFF" w:val="clear"/>
              </w:rPr>
              <w:t xml:space="preserve">P1, </w:t>
            </w:r>
            <w:r>
              <w:rPr>
                <w:shd w:fill="FFFFFF" w:val="clear"/>
              </w:rPr>
              <w:t xml:space="preserve">P2, </w:t>
            </w:r>
            <w:r>
              <w:rPr>
                <w:shd w:fill="FFFFFF" w:val="clear"/>
              </w:rPr>
              <w:t xml:space="preserve">P3, </w:t>
            </w:r>
            <w:r>
              <w:rPr>
                <w:shd w:fill="FFFFFF" w:val="clear"/>
              </w:rPr>
              <w:t xml:space="preserve">P4, </w:t>
            </w:r>
            <w:r>
              <w:rPr>
                <w:shd w:fill="FFFFFF" w:val="clear"/>
              </w:rPr>
              <w:t xml:space="preserve">P5, P6, </w:t>
            </w:r>
            <w:r>
              <w:rPr>
                <w:shd w:fill="FFFFFF" w:val="clear"/>
              </w:rPr>
              <w:t xml:space="preserve">P7, P8, </w:t>
            </w:r>
            <w:r>
              <w:rPr>
                <w:shd w:fill="FFFFFF" w:val="clear"/>
              </w:rPr>
              <w:t>P9</w:t>
            </w:r>
          </w:p>
        </w:tc>
        <w:tc>
          <w:tcPr>
            <w:tcW w:w="2836"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none"/>
                <w:shd w:fill="FFFFFF" w:val="clear"/>
              </w:rPr>
            </w:pPr>
            <w:r>
              <w:rPr>
                <w:shd w:fill="FFFFFF" w:val="clear"/>
              </w:rPr>
              <w:t>100%</w:t>
            </w:r>
          </w:p>
        </w:tc>
      </w:tr>
      <w:tr>
        <w:trPr/>
        <w:tc>
          <w:tcPr>
            <w:tcW w:w="2199" w:type="dxa"/>
            <w:tcBorders>
              <w:top w:val="single" w:sz="6" w:space="0" w:color="000000"/>
              <w:bottom w:val="single" w:sz="6" w:space="0" w:color="000000"/>
              <w:right w:val="single" w:sz="6" w:space="0" w:color="000000"/>
            </w:tcBorders>
          </w:tcPr>
          <w:p>
            <w:pPr>
              <w:pStyle w:val="Normal"/>
              <w:widowControl w:val="false"/>
              <w:spacing w:lineRule="auto" w:line="264"/>
              <w:rPr>
                <w:highlight w:val="none"/>
                <w:shd w:fill="FFFFFF" w:val="clear"/>
              </w:rPr>
            </w:pPr>
            <w:r>
              <w:rPr>
                <w:b/>
                <w:bCs/>
                <w:shd w:fill="FFFFFF" w:val="clear"/>
              </w:rPr>
              <w:t>Workers</w:t>
            </w:r>
          </w:p>
        </w:tc>
        <w:tc>
          <w:tcPr>
            <w:tcW w:w="170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none"/>
                <w:shd w:fill="FFFFFF" w:val="clear"/>
              </w:rPr>
            </w:pPr>
            <w:r>
              <w:rPr>
                <w:shd w:fill="FFFFFF" w:val="clear"/>
              </w:rPr>
              <w:t>60</w:t>
            </w:r>
          </w:p>
        </w:tc>
        <w:tc>
          <w:tcPr>
            <w:tcW w:w="37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none"/>
                <w:shd w:fill="FFFFFF" w:val="clear"/>
              </w:rPr>
            </w:pPr>
            <w:r>
              <w:rPr>
                <w:shd w:fill="FFFFFF" w:val="clear"/>
              </w:rPr>
              <w:t xml:space="preserve">P1, </w:t>
            </w:r>
            <w:r>
              <w:rPr>
                <w:shd w:fill="FFFFFF" w:val="clear"/>
              </w:rPr>
              <w:t>P2,</w:t>
            </w:r>
            <w:r>
              <w:rPr>
                <w:shd w:fill="FFFFFF" w:val="clear"/>
              </w:rPr>
              <w:t xml:space="preserve"> P3, </w:t>
            </w:r>
            <w:r>
              <w:rPr>
                <w:shd w:fill="FFFFFF" w:val="clear"/>
              </w:rPr>
              <w:t xml:space="preserve">P4, </w:t>
            </w:r>
            <w:r>
              <w:rPr>
                <w:shd w:fill="FFFFFF" w:val="clear"/>
              </w:rPr>
              <w:t xml:space="preserve">P5, P6, </w:t>
            </w:r>
            <w:r>
              <w:rPr>
                <w:shd w:fill="FFFFFF" w:val="clear"/>
              </w:rPr>
              <w:t xml:space="preserve">P7, P8, </w:t>
            </w:r>
            <w:r>
              <w:rPr>
                <w:shd w:fill="FFFFFF" w:val="clear"/>
              </w:rPr>
              <w:t>P9</w:t>
            </w:r>
          </w:p>
        </w:tc>
        <w:tc>
          <w:tcPr>
            <w:tcW w:w="2836"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none"/>
                <w:shd w:fill="FFFFFF" w:val="clear"/>
              </w:rPr>
            </w:pPr>
            <w:r>
              <w:rPr>
                <w:shd w:fill="FFFFFF" w:val="clear"/>
              </w:rPr>
              <w:t>99.80</w:t>
            </w:r>
            <w:r>
              <w:rPr>
                <w:shd w:fill="FFFFFF" w:val="clear"/>
              </w:rPr>
              <w:t>%</w:t>
            </w:r>
          </w:p>
        </w:tc>
      </w:tr>
    </w:tbl>
    <w:p>
      <w:pPr>
        <w:pStyle w:val="Normal"/>
        <w:spacing w:before="0" w:after="120"/>
        <w:rPr>
          <w:highlight w:val="yellow"/>
        </w:rPr>
      </w:pPr>
      <w:r>
        <w:rPr>
          <w:highlight w:val="yellow"/>
        </w:rPr>
      </w:r>
    </w:p>
    <w:p>
      <w:pPr>
        <w:pStyle w:val="Normal"/>
        <w:keepNext w:val="true"/>
        <w:keepLines/>
        <w:spacing w:lineRule="auto" w:line="276" w:before="100" w:after="100"/>
        <w:rPr/>
      </w:pPr>
      <w:r>
        <w:rPr>
          <w:b/>
          <w:bCs/>
        </w:rPr>
        <w:t>2. Details of fines / penalties /punishment/ award/ compounding fees/ settlement amount paid in proceedings (by the entity or by directors / KMPs) with regulators/ law enforcement agencies/ judicial institutions, in the financial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600"/>
        <w:gridCol w:w="1399"/>
        <w:gridCol w:w="3201"/>
        <w:gridCol w:w="1200"/>
        <w:gridCol w:w="1399"/>
        <w:gridCol w:w="1736"/>
      </w:tblGrid>
      <w:tr>
        <w:trPr>
          <w:tblHeader w:val="true"/>
        </w:trPr>
        <w:tc>
          <w:tcPr>
            <w:tcW w:w="10535" w:type="dxa"/>
            <w:gridSpan w:val="6"/>
            <w:tcBorders>
              <w:top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Monetary</w:t>
            </w:r>
          </w:p>
        </w:tc>
      </w:tr>
      <w:tr>
        <w:trPr>
          <w:tblHeader w:val="true"/>
        </w:trPr>
        <w:tc>
          <w:tcPr>
            <w:tcW w:w="16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3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NGRBC Principle</w:t>
            </w:r>
          </w:p>
        </w:tc>
        <w:tc>
          <w:tcPr>
            <w:tcW w:w="32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of the regulatory / enforcement agencies / judicial institutions</w:t>
            </w:r>
          </w:p>
        </w:tc>
        <w:tc>
          <w:tcPr>
            <w:tcW w:w="1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Amount (In INR)</w:t>
            </w:r>
          </w:p>
        </w:tc>
        <w:tc>
          <w:tcPr>
            <w:tcW w:w="13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Brief of the Case</w:t>
            </w:r>
          </w:p>
        </w:tc>
        <w:tc>
          <w:tcPr>
            <w:tcW w:w="173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Has an appeal been preferred? (Yes/No)</w:t>
            </w:r>
          </w:p>
        </w:tc>
      </w:tr>
      <w:tr>
        <w:trPr/>
        <w:tc>
          <w:tcPr>
            <w:tcW w:w="1600" w:type="dxa"/>
            <w:tcBorders>
              <w:top w:val="single" w:sz="6" w:space="0" w:color="000000"/>
              <w:bottom w:val="single" w:sz="6" w:space="0" w:color="000000"/>
              <w:right w:val="single" w:sz="6" w:space="0" w:color="000000"/>
            </w:tcBorders>
          </w:tcPr>
          <w:p>
            <w:pPr>
              <w:pStyle w:val="Normal"/>
              <w:widowControl w:val="false"/>
              <w:spacing w:lineRule="auto" w:line="264"/>
              <w:rPr/>
            </w:pPr>
            <w:r>
              <w:rPr/>
              <w:t>Penalty/ Fine</w:t>
            </w:r>
          </w:p>
        </w:tc>
        <w:tc>
          <w:tcPr>
            <w:tcW w:w="8935" w:type="dxa"/>
            <w:gridSpan w:val="5"/>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1600" w:type="dxa"/>
            <w:tcBorders>
              <w:top w:val="single" w:sz="6" w:space="0" w:color="000000"/>
              <w:bottom w:val="single" w:sz="6" w:space="0" w:color="000000"/>
              <w:right w:val="single" w:sz="6" w:space="0" w:color="000000"/>
            </w:tcBorders>
          </w:tcPr>
          <w:p>
            <w:pPr>
              <w:pStyle w:val="Normal"/>
              <w:widowControl w:val="false"/>
              <w:spacing w:lineRule="auto" w:line="264"/>
              <w:rPr/>
            </w:pPr>
            <w:r>
              <w:rPr/>
              <w:t>Settlement</w:t>
            </w:r>
          </w:p>
        </w:tc>
        <w:tc>
          <w:tcPr>
            <w:tcW w:w="8935" w:type="dxa"/>
            <w:gridSpan w:val="5"/>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1600" w:type="dxa"/>
            <w:tcBorders>
              <w:top w:val="single" w:sz="6" w:space="0" w:color="000000"/>
              <w:bottom w:val="single" w:sz="6" w:space="0" w:color="000000"/>
              <w:right w:val="single" w:sz="6" w:space="0" w:color="000000"/>
            </w:tcBorders>
          </w:tcPr>
          <w:p>
            <w:pPr>
              <w:pStyle w:val="Normal"/>
              <w:widowControl w:val="false"/>
              <w:spacing w:lineRule="auto" w:line="264"/>
              <w:rPr/>
            </w:pPr>
            <w:r>
              <w:rPr/>
              <w:t>Compounding</w:t>
            </w:r>
          </w:p>
        </w:tc>
        <w:tc>
          <w:tcPr>
            <w:tcW w:w="8935" w:type="dxa"/>
            <w:gridSpan w:val="5"/>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10535" w:type="dxa"/>
            <w:gridSpan w:val="6"/>
            <w:tcBorders>
              <w:top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Non Monetary</w:t>
            </w:r>
          </w:p>
        </w:tc>
      </w:tr>
      <w:tr>
        <w:trPr/>
        <w:tc>
          <w:tcPr>
            <w:tcW w:w="16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3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NGRBC Principle</w:t>
            </w:r>
          </w:p>
        </w:tc>
        <w:tc>
          <w:tcPr>
            <w:tcW w:w="32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of the regulatory / enforcement agencies / judicial institutions</w:t>
            </w:r>
          </w:p>
        </w:tc>
        <w:tc>
          <w:tcPr>
            <w:tcW w:w="1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Amount (In INR)</w:t>
            </w:r>
          </w:p>
        </w:tc>
        <w:tc>
          <w:tcPr>
            <w:tcW w:w="13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Brief of the Case</w:t>
            </w:r>
          </w:p>
        </w:tc>
        <w:tc>
          <w:tcPr>
            <w:tcW w:w="173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Has an appeal been preferred? (Yes/No)</w:t>
            </w:r>
          </w:p>
        </w:tc>
      </w:tr>
      <w:tr>
        <w:trPr/>
        <w:tc>
          <w:tcPr>
            <w:tcW w:w="1600" w:type="dxa"/>
            <w:tcBorders>
              <w:top w:val="single" w:sz="6" w:space="0" w:color="000000"/>
              <w:bottom w:val="single" w:sz="6" w:space="0" w:color="000000"/>
              <w:right w:val="single" w:sz="6" w:space="0" w:color="000000"/>
            </w:tcBorders>
          </w:tcPr>
          <w:p>
            <w:pPr>
              <w:pStyle w:val="Normal"/>
              <w:widowControl w:val="false"/>
              <w:spacing w:lineRule="auto" w:line="264"/>
              <w:rPr/>
            </w:pPr>
            <w:r>
              <w:rPr/>
              <w:t>Imprisonment</w:t>
            </w:r>
          </w:p>
        </w:tc>
        <w:tc>
          <w:tcPr>
            <w:tcW w:w="8935" w:type="dxa"/>
            <w:gridSpan w:val="5"/>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r>
        <w:trPr/>
        <w:tc>
          <w:tcPr>
            <w:tcW w:w="1600" w:type="dxa"/>
            <w:tcBorders>
              <w:top w:val="single" w:sz="6" w:space="0" w:color="000000"/>
              <w:bottom w:val="single" w:sz="6" w:space="0" w:color="000000"/>
              <w:right w:val="single" w:sz="6" w:space="0" w:color="000000"/>
            </w:tcBorders>
          </w:tcPr>
          <w:p>
            <w:pPr>
              <w:pStyle w:val="Normal"/>
              <w:widowControl w:val="false"/>
              <w:spacing w:lineRule="auto" w:line="264"/>
              <w:rPr/>
            </w:pPr>
            <w:r>
              <w:rPr/>
              <w:t>Punishment</w:t>
            </w:r>
          </w:p>
        </w:tc>
        <w:tc>
          <w:tcPr>
            <w:tcW w:w="8935" w:type="dxa"/>
            <w:gridSpan w:val="5"/>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bl>
    <w:p>
      <w:pPr>
        <w:pStyle w:val="Normal"/>
        <w:keepNext w:val="true"/>
        <w:keepLines/>
        <w:spacing w:lineRule="auto" w:line="276" w:before="160" w:after="80"/>
        <w:rPr/>
      </w:pPr>
      <w:r>
        <w:rPr>
          <w:b/>
          <w:bCs/>
        </w:rPr>
        <w:t>3. Of the instances disclosed in Question 2 above, details of the Appeal/ Revision preferred in cases where monetary or non-monetary action has been appealed</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207"/>
        <w:gridCol w:w="7328"/>
      </w:tblGrid>
      <w:tr>
        <w:trPr>
          <w:tblHeader w:val="true"/>
        </w:trPr>
        <w:tc>
          <w:tcPr>
            <w:tcW w:w="3207"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Case Details</w:t>
            </w:r>
          </w:p>
        </w:tc>
        <w:tc>
          <w:tcPr>
            <w:tcW w:w="732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Name of the regulatory/ enforcement agencies/judicial institutions</w:t>
            </w:r>
          </w:p>
        </w:tc>
      </w:tr>
      <w:tr>
        <w:trPr/>
        <w:tc>
          <w:tcPr>
            <w:tcW w:w="3207" w:type="dxa"/>
            <w:tcBorders>
              <w:top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7328"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4.  Does the entity have an anti-corruption or anti-bribery policy? If yes, provide details in brief and if available, provide a web-link to the policy.</w:t>
      </w:r>
    </w:p>
    <w:p>
      <w:pPr>
        <w:pStyle w:val="Normal"/>
        <w:keepLines/>
        <w:spacing w:lineRule="auto" w:line="276" w:before="0" w:after="140"/>
        <w:ind w:left="360" w:hanging="0"/>
        <w:rPr/>
      </w:pPr>
      <w:r>
        <w:rPr/>
        <w:t>Kennametal India Limited has a well-defined policy on Anti-Corruption and Anti-Bribery. The policy is applicable to all directors, officers and employees of Kennametal India Limited, and its sales agents, representatives and distributors (collectively referred to as “Third Parties”) operating or located in the regions where Kennametal operates,</w:t>
      </w:r>
    </w:p>
    <w:p>
      <w:pPr>
        <w:pStyle w:val="Normal"/>
        <w:keepLines/>
        <w:spacing w:lineRule="auto" w:line="276" w:before="0" w:after="140"/>
        <w:ind w:left="360" w:hanging="0"/>
        <w:rPr/>
      </w:pPr>
      <w:r>
        <w:rPr/>
        <w:t>https://in.investors.kennametal.com/corporate-governance/policies-codes</w:t>
      </w:r>
    </w:p>
    <w:p>
      <w:pPr>
        <w:pStyle w:val="Normal"/>
        <w:keepNext w:val="true"/>
        <w:keepLines/>
        <w:spacing w:lineRule="auto" w:line="276" w:before="160" w:after="80"/>
        <w:rPr/>
      </w:pPr>
      <w:r>
        <w:rPr>
          <w:b/>
          <w:bCs/>
        </w:rPr>
        <w:t>5. Number of Directors/KMPs/employees/workers against whom disciplinary action was taken by any law enforcement agency for the charges of bribery/ corruption:</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4667"/>
        <w:gridCol w:w="4669"/>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466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4669"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Directors</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KMPs</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Employees</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Workers</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bl>
    <w:p>
      <w:pPr>
        <w:pStyle w:val="Normal"/>
        <w:spacing w:before="0" w:after="120"/>
        <w:rPr/>
      </w:pPr>
      <w:r>
        <w:rPr/>
      </w:r>
    </w:p>
    <w:p>
      <w:pPr>
        <w:pStyle w:val="Normal"/>
        <w:keepNext w:val="true"/>
        <w:keepLines/>
        <w:spacing w:lineRule="auto" w:line="276" w:before="160" w:after="80"/>
        <w:rPr/>
      </w:pPr>
      <w:r>
        <w:rPr>
          <w:b/>
          <w:bCs/>
        </w:rPr>
        <w:t>6. Details of complaints with regard to conflict of interest: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1499"/>
        <w:gridCol w:w="2369"/>
        <w:gridCol w:w="1499"/>
        <w:gridCol w:w="2369"/>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4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FY (2023-24)</w:t>
            </w:r>
          </w:p>
        </w:tc>
        <w:tc>
          <w:tcPr>
            <w:tcW w:w="236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Remarks FY (2023-24)</w:t>
            </w:r>
          </w:p>
        </w:tc>
        <w:tc>
          <w:tcPr>
            <w:tcW w:w="14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FY (2022-23)</w:t>
            </w:r>
          </w:p>
        </w:tc>
        <w:tc>
          <w:tcPr>
            <w:tcW w:w="2369"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Remarks FY (2022-23)</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Number of complaints received in relation to issues of Conflict of Interest of the Directors</w:t>
            </w:r>
          </w:p>
        </w:tc>
        <w:tc>
          <w:tcPr>
            <w:tcW w:w="14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23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4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23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Number of complaints received in relation to issues of Conflict of Interest of the KMPs</w:t>
            </w:r>
          </w:p>
        </w:tc>
        <w:tc>
          <w:tcPr>
            <w:tcW w:w="14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236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4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23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bl>
    <w:p>
      <w:pPr>
        <w:pStyle w:val="Normal"/>
        <w:spacing w:before="0" w:after="120"/>
        <w:rPr/>
      </w:pPr>
      <w:r>
        <w:rPr/>
      </w:r>
    </w:p>
    <w:p>
      <w:pPr>
        <w:pStyle w:val="Normal"/>
        <w:keepNext w:val="true"/>
        <w:keepLines/>
        <w:spacing w:lineRule="auto" w:line="276" w:before="160" w:after="80"/>
        <w:rPr/>
      </w:pPr>
      <w:r>
        <w:rPr>
          <w:b/>
          <w:bCs/>
        </w:rPr>
        <w:t>7.  Provide details of any corrective action taken or underway on issues related to fines / penalties / action taken by regulators/ law enforcement agencies/ judicial institutions, on cases of corruption and conflicts of interest.</w:t>
      </w:r>
    </w:p>
    <w:p>
      <w:pPr>
        <w:pStyle w:val="Normal"/>
        <w:keepLines/>
        <w:spacing w:lineRule="auto" w:line="276" w:before="0" w:after="140"/>
        <w:ind w:left="360" w:hanging="0"/>
        <w:rPr/>
      </w:pPr>
      <w:r>
        <w:rPr/>
        <w:t>Not Applicable</w:t>
      </w:r>
    </w:p>
    <w:p>
      <w:pPr>
        <w:pStyle w:val="Normal"/>
        <w:keepNext w:val="true"/>
        <w:keepLines/>
        <w:spacing w:lineRule="auto" w:line="276" w:before="160" w:after="80"/>
        <w:rPr/>
      </w:pPr>
      <w:r>
        <w:rPr>
          <w:b/>
          <w:bCs/>
        </w:rPr>
        <w:t>8. Number of days of accounts payables ((Accounts payable *365) / Cost of goods/services procured)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924"/>
        <w:gridCol w:w="4306"/>
        <w:gridCol w:w="4306"/>
      </w:tblGrid>
      <w:tr>
        <w:trPr>
          <w:tblHeader w:val="true"/>
        </w:trPr>
        <w:tc>
          <w:tcPr>
            <w:tcW w:w="1924"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430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430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Number of days of accounts payables</w:t>
            </w:r>
          </w:p>
        </w:tc>
        <w:tc>
          <w:tcPr>
            <w:tcW w:w="430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129</w:t>
            </w:r>
          </w:p>
        </w:tc>
        <w:tc>
          <w:tcPr>
            <w:tcW w:w="4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87</w:t>
            </w:r>
          </w:p>
        </w:tc>
      </w:tr>
    </w:tbl>
    <w:p>
      <w:pPr>
        <w:pStyle w:val="Normal"/>
        <w:spacing w:before="0" w:after="120"/>
        <w:rPr/>
      </w:pPr>
      <w:r>
        <w:rPr/>
      </w:r>
    </w:p>
    <w:p>
      <w:pPr>
        <w:pStyle w:val="Normal"/>
        <w:keepNext w:val="true"/>
        <w:keepLines/>
        <w:spacing w:lineRule="auto" w:line="276" w:before="100" w:after="90"/>
        <w:rPr/>
      </w:pPr>
      <w:r>
        <w:rPr>
          <w:b/>
          <w:bCs/>
        </w:rPr>
        <w:t>9. Open-ness of business</w:t>
      </w:r>
    </w:p>
    <w:p>
      <w:pPr>
        <w:pStyle w:val="Normal"/>
        <w:keepNext w:val="true"/>
        <w:keepLines/>
        <w:spacing w:lineRule="auto" w:line="276" w:before="0" w:after="100"/>
        <w:ind w:left="360" w:hanging="0"/>
        <w:rPr/>
      </w:pPr>
      <w:r>
        <w:rPr/>
        <w:t>Provide details of concentration of purchases and sales with trading houses, dealers, and related parties along-with loans and advances &amp; investments, with related parties,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500"/>
        <w:gridCol w:w="4299"/>
        <w:gridCol w:w="2000"/>
        <w:gridCol w:w="1736"/>
      </w:tblGrid>
      <w:tr>
        <w:trPr>
          <w:tblHeader w:val="true"/>
        </w:trPr>
        <w:tc>
          <w:tcPr>
            <w:tcW w:w="25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Parameter</w:t>
            </w:r>
          </w:p>
        </w:tc>
        <w:tc>
          <w:tcPr>
            <w:tcW w:w="429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Metrics</w:t>
            </w:r>
          </w:p>
        </w:tc>
        <w:tc>
          <w:tcPr>
            <w:tcW w:w="20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2025-2026 (Current Financial Year)</w:t>
            </w:r>
          </w:p>
        </w:tc>
        <w:tc>
          <w:tcPr>
            <w:tcW w:w="173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2024-2025 (Previous Financial Year)</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Concentration of Purchases</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 Purchases from trading houses as % of total purchases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b. Number of trading houses where purchases are made from</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c. Purchases from top 10 trading houses as % of total purchases from trading houses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Concentration of Sales</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 Sales to dealers/distributors as % of total sales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47%</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50</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b. Number of dealers/distributors to whom sales are made</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352</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359</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c. Sales to top 10 dealers/distributors as % of total sales to dealers/distributors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17%</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18</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Share of RPTs in</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 Purchases (Purchases with related parties/Total Purchases)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40%</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43%</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b. Sales (Sales to related parties/Total Sales)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12%</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13%</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c. Loans &amp; advances (Loans &amp; advances given to related parties/Total loans &amp; advances)</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500" w:type="dxa"/>
            <w:tcBorders>
              <w:top w:val="single" w:sz="6" w:space="0" w:color="000000"/>
              <w:bottom w:val="single" w:sz="6" w:space="0" w:color="000000"/>
              <w:right w:val="single" w:sz="6" w:space="0" w:color="000000"/>
            </w:tcBorders>
          </w:tcPr>
          <w:p>
            <w:pPr>
              <w:pStyle w:val="Normal"/>
              <w:widowControl w:val="false"/>
              <w:spacing w:lineRule="auto" w:line="264"/>
              <w:rPr/>
            </w:pPr>
            <w:r>
              <w:rPr/>
              <w:t>-</w:t>
            </w:r>
          </w:p>
        </w:tc>
        <w:tc>
          <w:tcPr>
            <w:tcW w:w="42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d. Investments (Investments in related parties/Total Investments made)</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73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bl>
    <w:p>
      <w:pPr>
        <w:pStyle w:val="Normal"/>
        <w:spacing w:lineRule="auto" w:line="264" w:before="80" w:after="120"/>
        <w:ind w:left="100" w:hanging="0"/>
        <w:rPr>
          <w:i/>
          <w:i/>
          <w:iCs/>
          <w:color w:val="666666"/>
          <w:sz w:val="18"/>
          <w:szCs w:val="18"/>
        </w:rPr>
      </w:pPr>
      <w:r>
        <w:rPr>
          <w:shd w:fill="FFFFFF" w:val="clear"/>
        </w:rPr>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2</w:t>
      </w:r>
    </w:p>
    <w:p>
      <w:pPr>
        <w:pStyle w:val="Normal"/>
        <w:keepNext w:val="true"/>
        <w:keepLines/>
        <w:pBdr>
          <w:bottom w:val="single" w:sz="4" w:space="4" w:color="E5E5E5"/>
        </w:pBdr>
        <w:spacing w:lineRule="auto" w:line="276" w:before="200" w:after="140"/>
        <w:rPr/>
      </w:pPr>
      <w:r>
        <w:rPr>
          <w:b/>
          <w:bCs/>
        </w:rPr>
        <w:t>Essential Indicators</w:t>
      </w:r>
    </w:p>
    <w:p>
      <w:pPr>
        <w:pStyle w:val="Normal"/>
        <w:keepNext w:val="true"/>
        <w:keepLines/>
        <w:spacing w:lineRule="auto" w:line="276" w:before="160" w:after="80"/>
        <w:rPr/>
      </w:pPr>
      <w:r>
        <w:rPr>
          <w:b/>
          <w:bCs/>
        </w:rPr>
        <w:t>1. Percentage of R&amp;D and capital expenditure (capex) investments in specific technologies to improve the environmental and social impacts of product and processes to total R&amp;D and capex investments made by the entity, respectively.</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2000"/>
        <w:gridCol w:w="2001"/>
        <w:gridCol w:w="5334"/>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20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200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(2024-25)</w:t>
            </w:r>
          </w:p>
        </w:tc>
        <w:tc>
          <w:tcPr>
            <w:tcW w:w="5334"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Details of improvements in environmental and social impacts</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R&amp;D</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5334" w:type="dxa"/>
            <w:tcBorders>
              <w:top w:val="single" w:sz="6" w:space="0" w:color="000000"/>
              <w:left w:val="single" w:sz="6" w:space="0" w:color="000000"/>
              <w:bottom w:val="single" w:sz="6" w:space="0" w:color="000000"/>
            </w:tcBorders>
          </w:tcPr>
          <w:p>
            <w:pPr>
              <w:pStyle w:val="Normal"/>
              <w:widowControl w:val="false"/>
              <w:spacing w:lineRule="auto" w:line="264"/>
              <w:rPr/>
            </w:pPr>
            <w:r>
              <w:rPr/>
              <w:t xml:space="preserve">Kennametal India Limited leverages the R&amp;D developments of its parent company Kennametal Inc. to improve environmental and social impacts. For example, Kennametal Inc. is evolving with the fast-growing hybrid and electric vehicle market to identify and tackle e-mobility challenges and create new machining solutions for the industry. It prioritizes innovation, high performance and reliability. It specializes in the application of additive manufacturing processes like innovative 3D printing design. </w:t>
            </w:r>
          </w:p>
          <w:p>
            <w:pPr>
              <w:pStyle w:val="Normal"/>
              <w:widowControl w:val="false"/>
              <w:spacing w:lineRule="auto" w:line="264"/>
              <w:rPr/>
            </w:pPr>
            <w:r>
              <w:rPr/>
            </w:r>
          </w:p>
          <w:p>
            <w:pPr>
              <w:pStyle w:val="Normal"/>
              <w:widowControl w:val="false"/>
              <w:spacing w:lineRule="auto" w:line="264"/>
              <w:rPr/>
            </w:pPr>
            <w:r>
              <w:rPr/>
              <w:t>More details are available in the Kennametal Inc. ESG report https://investors.kennametal.com/corporate-governance/corporate-responsibility</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Capex</w:t>
            </w:r>
          </w:p>
        </w:tc>
        <w:tc>
          <w:tcPr>
            <w:tcW w:w="2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5334"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pPr>
      <w:r>
        <w:rPr/>
      </w:r>
    </w:p>
    <w:p>
      <w:pPr>
        <w:pStyle w:val="Normal"/>
        <w:keepLines/>
        <w:spacing w:lineRule="auto" w:line="276" w:before="100" w:after="30"/>
        <w:rPr/>
      </w:pPr>
      <w:r>
        <w:rPr>
          <w:b/>
          <w:bCs/>
        </w:rPr>
        <w:t>2.</w:t>
      </w:r>
      <w:r>
        <w:rPr/>
        <w:t xml:space="preserve">  </w:t>
      </w:r>
      <w:r>
        <w:rPr>
          <w:b/>
          <w:bCs/>
        </w:rPr>
        <w:t>a. Does the entity have procedures in place for sustainable sourcing? (Yes/No)</w:t>
      </w:r>
    </w:p>
    <w:p>
      <w:pPr>
        <w:pStyle w:val="Normal"/>
        <w:keepLines/>
        <w:spacing w:lineRule="auto" w:line="276" w:before="0" w:after="80"/>
        <w:ind w:left="360" w:hanging="0"/>
        <w:rPr/>
      </w:pPr>
      <w:r>
        <w:rPr/>
        <w:t>No</w:t>
      </w:r>
    </w:p>
    <w:p>
      <w:pPr>
        <w:pStyle w:val="Normal"/>
        <w:keepLines/>
        <w:spacing w:lineRule="auto" w:line="276" w:before="0" w:after="30"/>
        <w:ind w:left="360" w:hanging="0"/>
        <w:rPr/>
      </w:pPr>
      <w:r>
        <w:rPr>
          <w:b/>
          <w:bCs/>
        </w:rPr>
        <w:t>b. If yes, what percentage of inputs were sourced sustainably?</w:t>
      </w:r>
    </w:p>
    <w:p>
      <w:pPr>
        <w:pStyle w:val="Normal"/>
        <w:keepLines/>
        <w:spacing w:lineRule="auto" w:line="276" w:before="0" w:after="110"/>
        <w:ind w:left="360" w:hanging="0"/>
        <w:rPr/>
      </w:pPr>
      <w:r>
        <w:rPr/>
        <w:t>NA</w:t>
      </w:r>
    </w:p>
    <w:p>
      <w:pPr>
        <w:pStyle w:val="Normal"/>
        <w:keepNext w:val="true"/>
        <w:keepLines/>
        <w:spacing w:lineRule="auto" w:line="276" w:before="160" w:after="80"/>
        <w:rPr/>
      </w:pPr>
      <w:r>
        <w:rPr>
          <w:b/>
          <w:bCs/>
        </w:rPr>
        <w:t>3. Describe the processes in place to safely reclaim your products for reusing, recycling and disposing at the end of life, for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870"/>
        <w:gridCol w:w="8665"/>
      </w:tblGrid>
      <w:tr>
        <w:trPr>
          <w:tblHeader w:val="true"/>
        </w:trPr>
        <w:tc>
          <w:tcPr>
            <w:tcW w:w="187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866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Add Details</w:t>
            </w:r>
          </w:p>
        </w:tc>
      </w:tr>
      <w:tr>
        <w:trPr/>
        <w:tc>
          <w:tcPr>
            <w:tcW w:w="1870" w:type="dxa"/>
            <w:tcBorders>
              <w:top w:val="single" w:sz="6" w:space="0" w:color="000000"/>
              <w:bottom w:val="single" w:sz="6" w:space="0" w:color="000000"/>
              <w:right w:val="single" w:sz="6" w:space="0" w:color="000000"/>
            </w:tcBorders>
          </w:tcPr>
          <w:p>
            <w:pPr>
              <w:pStyle w:val="Normal"/>
              <w:widowControl w:val="false"/>
              <w:spacing w:lineRule="auto" w:line="264"/>
              <w:rPr/>
            </w:pPr>
            <w:r>
              <w:rPr/>
              <w:t>(a) Plastics (including packaging)</w:t>
            </w:r>
          </w:p>
        </w:tc>
        <w:tc>
          <w:tcPr>
            <w:tcW w:w="8665" w:type="dxa"/>
            <w:tcBorders>
              <w:top w:val="single" w:sz="6" w:space="0" w:color="000000"/>
              <w:left w:val="single" w:sz="6" w:space="0" w:color="000000"/>
              <w:bottom w:val="single" w:sz="6" w:space="0" w:color="000000"/>
            </w:tcBorders>
          </w:tcPr>
          <w:p>
            <w:pPr>
              <w:pStyle w:val="Normal"/>
              <w:widowControl w:val="false"/>
              <w:spacing w:lineRule="auto" w:line="264"/>
              <w:rPr/>
            </w:pPr>
            <w:r>
              <w:rPr/>
              <w:t>The company has a buy back policy for used carbide powder, the details of which can be accessed at: https://www.kennametal.com/us/en/services/carbide-recycling.html Accordingly, waste carbide generated at KIL is sent to other Kennametal sites for recycling.</w:t>
            </w:r>
          </w:p>
        </w:tc>
      </w:tr>
      <w:tr>
        <w:trPr/>
        <w:tc>
          <w:tcPr>
            <w:tcW w:w="1870" w:type="dxa"/>
            <w:tcBorders>
              <w:top w:val="single" w:sz="6" w:space="0" w:color="000000"/>
              <w:bottom w:val="single" w:sz="6" w:space="0" w:color="000000"/>
              <w:right w:val="single" w:sz="6" w:space="0" w:color="000000"/>
            </w:tcBorders>
          </w:tcPr>
          <w:p>
            <w:pPr>
              <w:pStyle w:val="Normal"/>
              <w:widowControl w:val="false"/>
              <w:spacing w:lineRule="auto" w:line="264"/>
              <w:rPr/>
            </w:pPr>
            <w:r>
              <w:rPr/>
              <w:t>(b) E-waste</w:t>
            </w:r>
          </w:p>
        </w:tc>
        <w:tc>
          <w:tcPr>
            <w:tcW w:w="8665" w:type="dxa"/>
            <w:tcBorders>
              <w:top w:val="single" w:sz="6" w:space="0" w:color="000000"/>
              <w:left w:val="single" w:sz="6" w:space="0" w:color="000000"/>
              <w:bottom w:val="single" w:sz="6" w:space="0" w:color="000000"/>
            </w:tcBorders>
          </w:tcPr>
          <w:p>
            <w:pPr>
              <w:pStyle w:val="Normal"/>
              <w:widowControl w:val="false"/>
              <w:spacing w:lineRule="auto" w:line="264"/>
              <w:rPr/>
            </w:pPr>
            <w:r>
              <w:rPr/>
              <w:t>The company has a buy back policy for used carbide powder, the details of which can be accessed at: https://www.kennametal.com/us/en/services/carbide-recycling.html Accordingly, waste carbide generated at KIL is sent to other Kennametal sites for recycling.</w:t>
            </w:r>
          </w:p>
        </w:tc>
      </w:tr>
      <w:tr>
        <w:trPr/>
        <w:tc>
          <w:tcPr>
            <w:tcW w:w="1870" w:type="dxa"/>
            <w:tcBorders>
              <w:top w:val="single" w:sz="6" w:space="0" w:color="000000"/>
              <w:bottom w:val="single" w:sz="6" w:space="0" w:color="000000"/>
              <w:right w:val="single" w:sz="6" w:space="0" w:color="000000"/>
            </w:tcBorders>
          </w:tcPr>
          <w:p>
            <w:pPr>
              <w:pStyle w:val="Normal"/>
              <w:widowControl w:val="false"/>
              <w:spacing w:lineRule="auto" w:line="264"/>
              <w:rPr/>
            </w:pPr>
            <w:r>
              <w:rPr/>
              <w:t>(c) Hazardous waste</w:t>
            </w:r>
          </w:p>
        </w:tc>
        <w:tc>
          <w:tcPr>
            <w:tcW w:w="8665" w:type="dxa"/>
            <w:tcBorders>
              <w:top w:val="single" w:sz="6" w:space="0" w:color="000000"/>
              <w:left w:val="single" w:sz="6" w:space="0" w:color="000000"/>
              <w:bottom w:val="single" w:sz="6" w:space="0" w:color="000000"/>
            </w:tcBorders>
          </w:tcPr>
          <w:p>
            <w:pPr>
              <w:pStyle w:val="Normal"/>
              <w:widowControl w:val="false"/>
              <w:spacing w:lineRule="auto" w:line="264"/>
              <w:rPr/>
            </w:pPr>
            <w:r>
              <w:rPr/>
              <w:t>The company has a buy back policy for used carbide powder, the details of which can be accessed at: https://www.kennametal.com/us/en/services/carbide-recycling.html Accordingly, waste carbide generated at KIL is sent to other Kennametal sites for recycling.</w:t>
            </w:r>
          </w:p>
        </w:tc>
      </w:tr>
      <w:tr>
        <w:trPr>
          <w:trHeight w:val="200" w:hRule="atLeast"/>
        </w:trPr>
        <w:tc>
          <w:tcPr>
            <w:tcW w:w="1870" w:type="dxa"/>
            <w:tcBorders>
              <w:top w:val="single" w:sz="6" w:space="0" w:color="000000"/>
              <w:bottom w:val="single" w:sz="6" w:space="0" w:color="000000"/>
              <w:right w:val="single" w:sz="6" w:space="0" w:color="000000"/>
            </w:tcBorders>
          </w:tcPr>
          <w:p>
            <w:pPr>
              <w:pStyle w:val="Normal"/>
              <w:widowControl w:val="false"/>
              <w:spacing w:lineRule="auto" w:line="264"/>
              <w:rPr/>
            </w:pPr>
            <w:r>
              <w:rPr/>
              <w:t>(d) other waste</w:t>
            </w:r>
          </w:p>
        </w:tc>
        <w:tc>
          <w:tcPr>
            <w:tcW w:w="8665" w:type="dxa"/>
            <w:tcBorders>
              <w:top w:val="single" w:sz="6" w:space="0" w:color="000000"/>
              <w:left w:val="single" w:sz="6" w:space="0" w:color="000000"/>
              <w:bottom w:val="single" w:sz="6" w:space="0" w:color="000000"/>
            </w:tcBorders>
          </w:tcPr>
          <w:p>
            <w:pPr>
              <w:pStyle w:val="Normal"/>
              <w:widowControl w:val="false"/>
              <w:spacing w:lineRule="auto" w:line="264"/>
              <w:rPr/>
            </w:pPr>
            <w:r>
              <w:rPr/>
              <w:t>The company has a buy back policy for used carbide powder, the details of which can be accessed at: https://www.kennametal.com/us/en/services/carbide-recycling.html Accordingly, waste carbide generated at KIL is sent to other Kennametal sites for recycling.</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4.  Whether Extended Producer Responsibility (EPR) is applicable to the entity’s activities (Yes / No). If yes, whether the waste collection plan is in line with the Extended Producer Responsibility (EPR) plan submitted to Pollution Control Boards? If not, provide steps taken to address the same.</w:t>
      </w:r>
    </w:p>
    <w:p>
      <w:pPr>
        <w:pStyle w:val="Normal"/>
        <w:keepLines/>
        <w:spacing w:lineRule="auto" w:line="276" w:before="0" w:after="140"/>
        <w:ind w:left="360" w:hanging="0"/>
        <w:rPr/>
      </w:pPr>
      <w:r>
        <w:rPr/>
        <w:t>Yes, KIL is compliant to EPR requirement for importer and brand owner. Annual returns are filled on time and EPR credits are taken as per requirement</w:t>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3</w:t>
      </w:r>
    </w:p>
    <w:p>
      <w:pPr>
        <w:pStyle w:val="Normal"/>
        <w:keepNext w:val="true"/>
        <w:keepLines/>
        <w:pBdr>
          <w:bottom w:val="single" w:sz="4" w:space="4" w:color="E5E5E5"/>
        </w:pBdr>
        <w:spacing w:lineRule="auto" w:line="276" w:before="200" w:after="140"/>
        <w:rPr/>
      </w:pPr>
      <w:r>
        <w:rPr>
          <w:b/>
          <w:bCs/>
        </w:rPr>
        <w:t>Essential Indicators</w:t>
      </w:r>
    </w:p>
    <w:p>
      <w:pPr>
        <w:pStyle w:val="Normal"/>
        <w:keepNext w:val="true"/>
        <w:keepLines/>
        <w:spacing w:lineRule="auto" w:line="276" w:before="160" w:after="80"/>
        <w:rPr/>
      </w:pPr>
      <w:r>
        <w:rPr>
          <w:b/>
          <w:bCs/>
        </w:rPr>
        <w:t>1(a). Details of measures for the well-being of employees: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750"/>
        <w:gridCol w:w="719"/>
        <w:gridCol w:w="650"/>
        <w:gridCol w:w="650"/>
        <w:gridCol w:w="650"/>
        <w:gridCol w:w="650"/>
        <w:gridCol w:w="650"/>
        <w:gridCol w:w="651"/>
        <w:gridCol w:w="650"/>
        <w:gridCol w:w="650"/>
        <w:gridCol w:w="650"/>
        <w:gridCol w:w="2215"/>
      </w:tblGrid>
      <w:tr>
        <w:trPr>
          <w:tblHeader w:val="true"/>
        </w:trPr>
        <w:tc>
          <w:tcPr>
            <w:tcW w:w="17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Category</w:t>
            </w:r>
          </w:p>
        </w:tc>
        <w:tc>
          <w:tcPr>
            <w:tcW w:w="8785" w:type="dxa"/>
            <w:gridSpan w:val="11"/>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 of employees covered by</w:t>
            </w:r>
          </w:p>
        </w:tc>
      </w:tr>
      <w:tr>
        <w:trPr>
          <w:tblHeader w:val="true"/>
        </w:trPr>
        <w:tc>
          <w:tcPr>
            <w:tcW w:w="17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1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(A)</w:t>
            </w:r>
          </w:p>
        </w:tc>
        <w:tc>
          <w:tcPr>
            <w:tcW w:w="1300"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Health Insurance</w:t>
            </w:r>
          </w:p>
        </w:tc>
        <w:tc>
          <w:tcPr>
            <w:tcW w:w="1300"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Accident Insurance</w:t>
            </w:r>
          </w:p>
        </w:tc>
        <w:tc>
          <w:tcPr>
            <w:tcW w:w="1301"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Maternity Benefits</w:t>
            </w:r>
          </w:p>
        </w:tc>
        <w:tc>
          <w:tcPr>
            <w:tcW w:w="1300"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Paternity Benefits</w:t>
            </w:r>
          </w:p>
        </w:tc>
        <w:tc>
          <w:tcPr>
            <w:tcW w:w="2865" w:type="dxa"/>
            <w:gridSpan w:val="2"/>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Day Care Facilities</w:t>
            </w:r>
          </w:p>
        </w:tc>
      </w:tr>
      <w:tr>
        <w:trPr>
          <w:tblHeader w:val="true"/>
        </w:trPr>
        <w:tc>
          <w:tcPr>
            <w:tcW w:w="17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1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(B)</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(B/A)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(C)</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(C/A)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(D)</w:t>
            </w:r>
          </w:p>
        </w:tc>
        <w:tc>
          <w:tcPr>
            <w:tcW w:w="65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(D/A)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(E)</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(E/A)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(F)</w:t>
            </w:r>
          </w:p>
        </w:tc>
        <w:tc>
          <w:tcPr>
            <w:tcW w:w="221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(F/A)</w:t>
            </w:r>
          </w:p>
        </w:tc>
      </w:tr>
      <w:tr>
        <w:trPr/>
        <w:tc>
          <w:tcPr>
            <w:tcW w:w="10535" w:type="dxa"/>
            <w:gridSpan w:val="12"/>
            <w:tcBorders>
              <w:top w:val="single" w:sz="6" w:space="0" w:color="000000"/>
              <w:bottom w:val="single" w:sz="6" w:space="0" w:color="000000"/>
            </w:tcBorders>
          </w:tcPr>
          <w:p>
            <w:pPr>
              <w:pStyle w:val="Normal"/>
              <w:widowControl w:val="false"/>
              <w:spacing w:lineRule="auto" w:line="264"/>
              <w:jc w:val="center"/>
              <w:rPr/>
            </w:pPr>
            <w:r>
              <w:rPr>
                <w:b/>
                <w:bCs/>
              </w:rPr>
              <w:t>Permanent Employees</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422</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422</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422</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422</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422</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37</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37</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 xml:space="preserve">  </w:t>
            </w:r>
            <w:r>
              <w:rPr>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37</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37</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37</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Total</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459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459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459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37</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422</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459</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b/>
                <w:bCs/>
              </w:rPr>
              <w:t>100%</w:t>
            </w:r>
          </w:p>
        </w:tc>
      </w:tr>
      <w:tr>
        <w:trPr/>
        <w:tc>
          <w:tcPr>
            <w:tcW w:w="10535" w:type="dxa"/>
            <w:gridSpan w:val="12"/>
            <w:tcBorders>
              <w:top w:val="single" w:sz="6" w:space="0" w:color="000000"/>
              <w:bottom w:val="single" w:sz="6" w:space="0" w:color="000000"/>
            </w:tcBorders>
          </w:tcPr>
          <w:p>
            <w:pPr>
              <w:pStyle w:val="Normal"/>
              <w:widowControl w:val="false"/>
              <w:spacing w:lineRule="auto" w:line="264"/>
              <w:jc w:val="center"/>
              <w:rPr/>
            </w:pPr>
            <w:r>
              <w:rPr>
                <w:b/>
                <w:bCs/>
              </w:rPr>
              <w:t>Other than Permanent employees*</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115</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101</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87.83%</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sz w:val="24"/>
                <w:szCs w:val="24"/>
              </w:rPr>
              <w:t>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 xml:space="preserve">  </w:t>
            </w:r>
            <w:r>
              <w:rPr>
                <w:sz w:val="24"/>
                <w:szCs w:val="24"/>
              </w:rPr>
              <w:t>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11.11%</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sz w:val="24"/>
                <w:szCs w:val="24"/>
              </w:rPr>
              <w:t>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Total</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124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102</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82.26%</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b/>
                <w:bCs/>
                <w:sz w:val="24"/>
                <w:szCs w:val="24"/>
              </w:rPr>
              <w:t>0</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b/>
                <w:bCs/>
                <w:sz w:val="24"/>
                <w:szCs w:val="24"/>
              </w:rPr>
              <w:t>0%</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Note: These numbers also include employees covered under the ESIC Act.</w:t>
      </w:r>
    </w:p>
    <w:p>
      <w:pPr>
        <w:pStyle w:val="Normal"/>
        <w:spacing w:lineRule="auto" w:line="264" w:before="80" w:after="120"/>
        <w:ind w:left="100" w:hanging="0"/>
        <w:rPr>
          <w:highlight w:val="yellow"/>
        </w:rPr>
      </w:pPr>
      <w:r>
        <w:rPr>
          <w:highlight w:val="yellow"/>
        </w:rPr>
      </w:r>
    </w:p>
    <w:p>
      <w:pPr>
        <w:pStyle w:val="Normal"/>
        <w:keepNext w:val="true"/>
        <w:keepLines/>
        <w:spacing w:lineRule="auto" w:line="276" w:before="160" w:after="80"/>
        <w:rPr/>
      </w:pPr>
      <w:r>
        <w:rPr>
          <w:b/>
          <w:bCs/>
        </w:rPr>
        <w:t>1(b). Details of measures for the well-being of workers: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750"/>
        <w:gridCol w:w="719"/>
        <w:gridCol w:w="650"/>
        <w:gridCol w:w="650"/>
        <w:gridCol w:w="650"/>
        <w:gridCol w:w="650"/>
        <w:gridCol w:w="650"/>
        <w:gridCol w:w="651"/>
        <w:gridCol w:w="650"/>
        <w:gridCol w:w="650"/>
        <w:gridCol w:w="650"/>
        <w:gridCol w:w="2215"/>
      </w:tblGrid>
      <w:tr>
        <w:trPr>
          <w:tblHeader w:val="true"/>
        </w:trPr>
        <w:tc>
          <w:tcPr>
            <w:tcW w:w="17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Category</w:t>
            </w:r>
          </w:p>
        </w:tc>
        <w:tc>
          <w:tcPr>
            <w:tcW w:w="8785" w:type="dxa"/>
            <w:gridSpan w:val="11"/>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 of Workers covered by</w:t>
            </w:r>
          </w:p>
        </w:tc>
      </w:tr>
      <w:tr>
        <w:trPr>
          <w:tblHeader w:val="true"/>
        </w:trPr>
        <w:tc>
          <w:tcPr>
            <w:tcW w:w="17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1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(A)</w:t>
            </w:r>
          </w:p>
        </w:tc>
        <w:tc>
          <w:tcPr>
            <w:tcW w:w="1300"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Health Insurance</w:t>
            </w:r>
          </w:p>
        </w:tc>
        <w:tc>
          <w:tcPr>
            <w:tcW w:w="1300"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Accident Insurance</w:t>
            </w:r>
          </w:p>
        </w:tc>
        <w:tc>
          <w:tcPr>
            <w:tcW w:w="1301"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Maternity Benefits</w:t>
            </w:r>
          </w:p>
        </w:tc>
        <w:tc>
          <w:tcPr>
            <w:tcW w:w="1300" w:type="dxa"/>
            <w:gridSpan w:val="2"/>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Paternity Benefits</w:t>
            </w:r>
          </w:p>
        </w:tc>
        <w:tc>
          <w:tcPr>
            <w:tcW w:w="2865" w:type="dxa"/>
            <w:gridSpan w:val="2"/>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Day Care Facilities</w:t>
            </w:r>
          </w:p>
        </w:tc>
      </w:tr>
      <w:tr>
        <w:trPr>
          <w:tblHeader w:val="true"/>
        </w:trPr>
        <w:tc>
          <w:tcPr>
            <w:tcW w:w="17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1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(B)</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(B/A)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(C)</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(C/A)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(D)</w:t>
            </w:r>
          </w:p>
        </w:tc>
        <w:tc>
          <w:tcPr>
            <w:tcW w:w="65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(D/A)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(E)</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(E/A)</w:t>
            </w:r>
          </w:p>
        </w:tc>
        <w:tc>
          <w:tcPr>
            <w:tcW w:w="65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 (F)</w:t>
            </w:r>
          </w:p>
        </w:tc>
        <w:tc>
          <w:tcPr>
            <w:tcW w:w="221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(F/A)</w:t>
            </w:r>
          </w:p>
        </w:tc>
      </w:tr>
      <w:tr>
        <w:trPr/>
        <w:tc>
          <w:tcPr>
            <w:tcW w:w="10535" w:type="dxa"/>
            <w:gridSpan w:val="12"/>
            <w:tcBorders>
              <w:top w:val="single" w:sz="6" w:space="0" w:color="000000"/>
              <w:bottom w:val="single" w:sz="6" w:space="0" w:color="000000"/>
            </w:tcBorders>
          </w:tcPr>
          <w:p>
            <w:pPr>
              <w:pStyle w:val="Normal"/>
              <w:widowControl w:val="false"/>
              <w:spacing w:lineRule="auto" w:line="264"/>
              <w:jc w:val="center"/>
              <w:rPr/>
            </w:pPr>
            <w:r>
              <w:rPr>
                <w:b/>
                <w:bCs/>
              </w:rPr>
              <w:t>Permanent Employees</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314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314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314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314</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sz w:val="22"/>
                <w:szCs w:val="22"/>
              </w:rPr>
            </w:pPr>
            <w:r>
              <w:rPr>
                <w:sz w:val="22"/>
                <w:szCs w:val="22"/>
              </w:rPr>
              <w:t>100%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sz w:val="22"/>
                <w:szCs w:val="22"/>
              </w:rPr>
            </w:pPr>
            <w:r>
              <w:rPr>
                <w:sz w:val="22"/>
                <w:szCs w:val="22"/>
              </w:rPr>
              <w:t>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Total</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314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314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314</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314</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sz w:val="22"/>
                <w:szCs w:val="22"/>
              </w:rPr>
            </w:pPr>
            <w:r>
              <w:rPr>
                <w:b/>
                <w:bCs/>
                <w:sz w:val="22"/>
                <w:szCs w:val="22"/>
              </w:rPr>
              <w:t>100%</w:t>
            </w:r>
          </w:p>
        </w:tc>
      </w:tr>
      <w:tr>
        <w:trPr/>
        <w:tc>
          <w:tcPr>
            <w:tcW w:w="10535" w:type="dxa"/>
            <w:gridSpan w:val="12"/>
            <w:tcBorders>
              <w:top w:val="single" w:sz="6" w:space="0" w:color="000000"/>
              <w:bottom w:val="single" w:sz="6" w:space="0" w:color="000000"/>
            </w:tcBorders>
          </w:tcPr>
          <w:p>
            <w:pPr>
              <w:pStyle w:val="Normal"/>
              <w:widowControl w:val="false"/>
              <w:spacing w:lineRule="auto" w:line="264"/>
              <w:jc w:val="center"/>
              <w:rPr/>
            </w:pPr>
            <w:r>
              <w:rPr>
                <w:b/>
                <w:bCs/>
              </w:rPr>
              <w:t>Other than Permanent employees*</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129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129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129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sz w:val="22"/>
                <w:szCs w:val="22"/>
              </w:rPr>
            </w:pPr>
            <w:r>
              <w:rPr>
                <w:sz w:val="22"/>
                <w:szCs w:val="22"/>
              </w:rPr>
              <w:t>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sz w:val="22"/>
                <w:szCs w:val="22"/>
              </w:rPr>
              <w:t>NA</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sz w:val="22"/>
                <w:szCs w:val="22"/>
              </w:rPr>
            </w:pPr>
            <w:r>
              <w:rPr>
                <w:sz w:val="22"/>
                <w:szCs w:val="22"/>
              </w:rPr>
              <w:t>0%</w:t>
            </w:r>
          </w:p>
        </w:tc>
      </w:tr>
      <w:tr>
        <w:trPr/>
        <w:tc>
          <w:tcPr>
            <w:tcW w:w="175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Total</w:t>
            </w:r>
          </w:p>
        </w:tc>
        <w:tc>
          <w:tcPr>
            <w:tcW w:w="7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129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129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129</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100%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6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sz w:val="22"/>
                <w:szCs w:val="22"/>
              </w:rPr>
            </w:pPr>
            <w:r>
              <w:rPr>
                <w:b/>
                <w:bCs/>
                <w:sz w:val="22"/>
                <w:szCs w:val="22"/>
              </w:rPr>
              <w:t>0</w:t>
            </w:r>
          </w:p>
        </w:tc>
        <w:tc>
          <w:tcPr>
            <w:tcW w:w="2215" w:type="dxa"/>
            <w:tcBorders>
              <w:top w:val="single" w:sz="6" w:space="0" w:color="000000"/>
              <w:left w:val="single" w:sz="6" w:space="0" w:color="000000"/>
              <w:bottom w:val="single" w:sz="6" w:space="0" w:color="000000"/>
            </w:tcBorders>
          </w:tcPr>
          <w:p>
            <w:pPr>
              <w:pStyle w:val="Normal"/>
              <w:widowControl w:val="false"/>
              <w:spacing w:lineRule="auto" w:line="264"/>
              <w:jc w:val="center"/>
              <w:rPr>
                <w:sz w:val="22"/>
                <w:szCs w:val="22"/>
              </w:rPr>
            </w:pPr>
            <w:r>
              <w:rPr>
                <w:b/>
                <w:bCs/>
                <w:sz w:val="22"/>
                <w:szCs w:val="22"/>
              </w:rPr>
              <w:t>0%</w:t>
            </w:r>
          </w:p>
        </w:tc>
      </w:tr>
    </w:tbl>
    <w:p>
      <w:pPr>
        <w:pStyle w:val="Normal"/>
        <w:spacing w:before="0" w:after="120"/>
        <w:rPr/>
      </w:pPr>
      <w:r>
        <w:rPr/>
      </w:r>
    </w:p>
    <w:p>
      <w:pPr>
        <w:pStyle w:val="Normal"/>
        <w:spacing w:lineRule="auto" w:line="264" w:before="80" w:after="120"/>
        <w:ind w:left="100" w:hanging="0"/>
        <w:rPr>
          <w:highlight w:val="none"/>
          <w:shd w:fill="FFFFFF" w:val="clear"/>
        </w:rPr>
      </w:pPr>
      <w:r>
        <w:rPr>
          <w:i/>
          <w:iCs/>
          <w:color w:val="666666"/>
          <w:sz w:val="18"/>
          <w:szCs w:val="18"/>
          <w:shd w:fill="FFFFFF" w:val="clear"/>
        </w:rPr>
        <w:t>Note: These numbers also include employees covered under the ESIC Act.</w:t>
      </w:r>
    </w:p>
    <w:p>
      <w:pPr>
        <w:pStyle w:val="Normal"/>
        <w:keepNext w:val="true"/>
        <w:keepLines/>
        <w:spacing w:lineRule="auto" w:line="276" w:before="160" w:after="80"/>
        <w:rPr/>
      </w:pPr>
      <w:r>
        <w:rPr>
          <w:b/>
          <w:bCs/>
        </w:rPr>
        <w:t>1(c). Spending on measures towards well-being of employees and workers (including permanent and other than permanent) in the following format –</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8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386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Cost incurred on well- being measures as a % of total revenue of the company</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0.88%</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1.20%</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 Details of retirement benefits, for Current FY and Previous Financial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65"/>
        <w:gridCol w:w="1226"/>
        <w:gridCol w:w="1228"/>
        <w:gridCol w:w="2181"/>
        <w:gridCol w:w="1226"/>
        <w:gridCol w:w="1227"/>
        <w:gridCol w:w="2182"/>
      </w:tblGrid>
      <w:tr>
        <w:trPr>
          <w:tblHeader w:val="true"/>
        </w:trPr>
        <w:tc>
          <w:tcPr>
            <w:tcW w:w="1265"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2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employees covered as a % of total employees FY (2023-24)</w:t>
            </w:r>
          </w:p>
        </w:tc>
        <w:tc>
          <w:tcPr>
            <w:tcW w:w="122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workers covered as a % of total workers FY (2023-24)</w:t>
            </w:r>
          </w:p>
        </w:tc>
        <w:tc>
          <w:tcPr>
            <w:tcW w:w="218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Deducted and deposited with the authority (Y/N/N.A.) FY (2023-24)</w:t>
            </w:r>
          </w:p>
        </w:tc>
        <w:tc>
          <w:tcPr>
            <w:tcW w:w="12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employees covered as a % of total employees FY (2022-23)</w:t>
            </w:r>
          </w:p>
        </w:tc>
        <w:tc>
          <w:tcPr>
            <w:tcW w:w="12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workers covered as a % of total workers FY (2022-23)</w:t>
            </w:r>
          </w:p>
        </w:tc>
        <w:tc>
          <w:tcPr>
            <w:tcW w:w="2182"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Deducted and deposited with the authority (Y/N/N.A.) (2022-23)</w:t>
            </w:r>
          </w:p>
        </w:tc>
      </w:tr>
      <w:tr>
        <w:trPr/>
        <w:tc>
          <w:tcPr>
            <w:tcW w:w="1265" w:type="dxa"/>
            <w:tcBorders>
              <w:top w:val="single" w:sz="6" w:space="0" w:color="000000"/>
              <w:bottom w:val="single" w:sz="6" w:space="0" w:color="000000"/>
              <w:right w:val="single" w:sz="6" w:space="0" w:color="000000"/>
            </w:tcBorders>
          </w:tcPr>
          <w:p>
            <w:pPr>
              <w:pStyle w:val="Normal"/>
              <w:widowControl w:val="false"/>
              <w:spacing w:lineRule="auto" w:line="264"/>
              <w:rPr/>
            </w:pPr>
            <w:r>
              <w:rPr/>
              <w:t>PF</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100</w:t>
            </w:r>
          </w:p>
        </w:tc>
        <w:tc>
          <w:tcPr>
            <w:tcW w:w="12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100</w:t>
            </w:r>
          </w:p>
        </w:tc>
        <w:tc>
          <w:tcPr>
            <w:tcW w:w="21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12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21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sz w:val="24"/>
                <w:szCs w:val="24"/>
              </w:rPr>
              <w:t>Y</w:t>
            </w:r>
          </w:p>
        </w:tc>
      </w:tr>
      <w:tr>
        <w:trPr/>
        <w:tc>
          <w:tcPr>
            <w:tcW w:w="1265" w:type="dxa"/>
            <w:tcBorders>
              <w:top w:val="single" w:sz="6" w:space="0" w:color="000000"/>
              <w:bottom w:val="single" w:sz="6" w:space="0" w:color="000000"/>
              <w:right w:val="single" w:sz="6" w:space="0" w:color="000000"/>
            </w:tcBorders>
          </w:tcPr>
          <w:p>
            <w:pPr>
              <w:pStyle w:val="Normal"/>
              <w:widowControl w:val="false"/>
              <w:spacing w:lineRule="auto" w:line="264"/>
              <w:rPr/>
            </w:pPr>
            <w:r>
              <w:rPr/>
              <w:t>Gratuity</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100</w:t>
            </w:r>
          </w:p>
        </w:tc>
        <w:tc>
          <w:tcPr>
            <w:tcW w:w="12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100</w:t>
            </w:r>
          </w:p>
        </w:tc>
        <w:tc>
          <w:tcPr>
            <w:tcW w:w="21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12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100%</w:t>
            </w:r>
          </w:p>
        </w:tc>
        <w:tc>
          <w:tcPr>
            <w:tcW w:w="21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sz w:val="24"/>
                <w:szCs w:val="24"/>
              </w:rPr>
              <w:t>Y</w:t>
            </w:r>
          </w:p>
        </w:tc>
      </w:tr>
      <w:tr>
        <w:trPr/>
        <w:tc>
          <w:tcPr>
            <w:tcW w:w="1265" w:type="dxa"/>
            <w:tcBorders>
              <w:top w:val="single" w:sz="6" w:space="0" w:color="000000"/>
              <w:bottom w:val="single" w:sz="6" w:space="0" w:color="000000"/>
              <w:right w:val="single" w:sz="6" w:space="0" w:color="000000"/>
            </w:tcBorders>
          </w:tcPr>
          <w:p>
            <w:pPr>
              <w:pStyle w:val="Normal"/>
              <w:widowControl w:val="false"/>
              <w:spacing w:lineRule="auto" w:line="264"/>
              <w:rPr/>
            </w:pPr>
            <w:r>
              <w:rPr/>
              <w:t>ESI</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2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color w:val="000000" w:themeColor="text1"/>
                <w:sz w:val="18"/>
                <w:szCs w:val="18"/>
              </w:rPr>
              <w:t>29.12%</w:t>
            </w:r>
          </w:p>
        </w:tc>
        <w:tc>
          <w:tcPr>
            <w:tcW w:w="21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Y</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color w:val="000000" w:themeColor="text1"/>
                <w:sz w:val="24"/>
                <w:szCs w:val="24"/>
              </w:rPr>
              <w:t>0%</w:t>
            </w:r>
          </w:p>
        </w:tc>
        <w:tc>
          <w:tcPr>
            <w:tcW w:w="12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color w:val="000000" w:themeColor="text1"/>
                <w:sz w:val="24"/>
                <w:szCs w:val="24"/>
              </w:rPr>
              <w:t>0%</w:t>
            </w:r>
          </w:p>
        </w:tc>
        <w:tc>
          <w:tcPr>
            <w:tcW w:w="21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color w:val="000000" w:themeColor="text1"/>
                <w:sz w:val="24"/>
                <w:szCs w:val="24"/>
              </w:rPr>
              <w:t>NA</w:t>
            </w:r>
          </w:p>
        </w:tc>
      </w:tr>
      <w:tr>
        <w:trPr/>
        <w:tc>
          <w:tcPr>
            <w:tcW w:w="1265" w:type="dxa"/>
            <w:tcBorders>
              <w:top w:val="single" w:sz="6" w:space="0" w:color="000000"/>
              <w:bottom w:val="single" w:sz="6" w:space="0" w:color="000000"/>
              <w:right w:val="single" w:sz="6" w:space="0" w:color="000000"/>
            </w:tcBorders>
          </w:tcPr>
          <w:p>
            <w:pPr>
              <w:pStyle w:val="Normal"/>
              <w:widowControl w:val="false"/>
              <w:spacing w:lineRule="auto" w:line="264"/>
              <w:rPr/>
            </w:pPr>
            <w:r>
              <w:rPr/>
              <w:t>Others – please specify</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2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21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2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12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NA</w:t>
            </w:r>
          </w:p>
        </w:tc>
        <w:tc>
          <w:tcPr>
            <w:tcW w:w="21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sz w:val="24"/>
                <w:szCs w:val="24"/>
              </w:rPr>
              <w:t>NA</w:t>
            </w:r>
          </w:p>
        </w:tc>
      </w:tr>
    </w:tbl>
    <w:p>
      <w:pPr>
        <w:pStyle w:val="Normal"/>
        <w:spacing w:before="0" w:after="120"/>
        <w:rPr>
          <w:highlight w:val="yellow"/>
        </w:rPr>
      </w:pPr>
      <w:r>
        <w:rPr>
          <w:highlight w:val="yellow"/>
        </w:rPr>
      </w:r>
    </w:p>
    <w:p>
      <w:pPr>
        <w:pStyle w:val="Normal"/>
        <w:keepNext w:val="true"/>
        <w:keepLines/>
        <w:spacing w:lineRule="auto" w:line="276" w:before="160" w:after="80"/>
        <w:jc w:val="both"/>
        <w:rPr/>
      </w:pPr>
      <w:r>
        <w:rPr>
          <w:b/>
          <w:bCs/>
        </w:rPr>
        <w:t>3.  Accessibility of workplaces : Are the premises / offices of the entity accessible to differently abled employees and workers, as per the requirements of the Rights of Persons with Disabilities Act, 2016? If not, whether any steps are being taken by the entity in this regard.</w:t>
      </w:r>
    </w:p>
    <w:p>
      <w:pPr>
        <w:pStyle w:val="Normal"/>
        <w:spacing w:lineRule="auto" w:line="252"/>
        <w:ind w:left="142" w:right="142" w:hanging="0"/>
        <w:jc w:val="both"/>
        <w:rPr/>
      </w:pPr>
      <w:r>
        <w:rPr/>
        <w:t xml:space="preserve">Yes. KIL’s administration building, and Master Inserts Plant are accessible to differently abled employees through infrastructure such as ramps and dedicated washrooms. </w:t>
      </w:r>
    </w:p>
    <w:p>
      <w:pPr>
        <w:pStyle w:val="Normal"/>
        <w:keepNext w:val="true"/>
        <w:keepLines/>
        <w:spacing w:lineRule="auto" w:line="276" w:before="160" w:after="80"/>
        <w:rPr>
          <w:highlight w:val="yellow"/>
        </w:rPr>
      </w:pPr>
      <w:r>
        <w:rPr>
          <w:b/>
          <w:bCs/>
        </w:rPr>
        <w:t>4.  Does the entity have an equal opportunity policy as per the Rights of Persons with Disabilities Act, 2016?</w:t>
      </w:r>
    </w:p>
    <w:p>
      <w:pPr>
        <w:pStyle w:val="Normal"/>
        <w:keepNext w:val="true"/>
        <w:keepLines/>
        <w:spacing w:lineRule="auto" w:line="276" w:before="160" w:after="80"/>
        <w:rPr/>
      </w:pPr>
      <w:r>
        <w:rPr/>
        <w:t xml:space="preserve">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FY25. </w:t>
      </w:r>
    </w:p>
    <w:p>
      <w:pPr>
        <w:pStyle w:val="Normal"/>
        <w:keepNext w:val="true"/>
        <w:keepLines/>
        <w:spacing w:lineRule="auto" w:line="276" w:before="160" w:after="80"/>
        <w:rPr/>
      </w:pPr>
      <w:r>
        <w:rPr/>
        <w:t xml:space="preserve">https://www.kennametal.com/in/en/about-us/kil-financials/policies.html  </w:t>
      </w:r>
    </w:p>
    <w:p>
      <w:pPr>
        <w:pStyle w:val="Normal"/>
        <w:keepNext w:val="true"/>
        <w:keepLines/>
        <w:spacing w:lineRule="auto" w:line="276" w:before="160" w:after="80"/>
        <w:rPr/>
      </w:pPr>
      <w:r>
        <w:rPr>
          <w:b/>
          <w:bCs/>
        </w:rPr>
        <w:t>5. Return to work and Retention rates of permanent employees and workers that took parental leave.</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2333"/>
        <w:gridCol w:w="2334"/>
        <w:gridCol w:w="2335"/>
        <w:gridCol w:w="2334"/>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233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Return to work rate - Permanent employees</w:t>
            </w:r>
          </w:p>
        </w:tc>
        <w:tc>
          <w:tcPr>
            <w:tcW w:w="233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Retention rate - Permanent employees</w:t>
            </w:r>
          </w:p>
        </w:tc>
        <w:tc>
          <w:tcPr>
            <w:tcW w:w="233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Return to work rate - Permanent workers</w:t>
            </w:r>
          </w:p>
        </w:tc>
        <w:tc>
          <w:tcPr>
            <w:tcW w:w="2334"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Retention rate - Permanent workers</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233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color w:val="000000" w:themeColor="text1"/>
              </w:rPr>
              <w:t>26</w:t>
            </w:r>
          </w:p>
        </w:tc>
        <w:tc>
          <w:tcPr>
            <w:tcW w:w="23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color w:val="000000" w:themeColor="text1"/>
              </w:rPr>
              <w:t>100%</w:t>
            </w:r>
          </w:p>
        </w:tc>
        <w:tc>
          <w:tcPr>
            <w:tcW w:w="233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3</w:t>
            </w:r>
          </w:p>
        </w:tc>
        <w:tc>
          <w:tcPr>
            <w:tcW w:w="2334" w:type="dxa"/>
            <w:tcBorders>
              <w:top w:val="single" w:sz="6" w:space="0" w:color="000000"/>
              <w:left w:val="single" w:sz="6" w:space="0" w:color="000000"/>
              <w:bottom w:val="single" w:sz="6" w:space="0" w:color="000000"/>
            </w:tcBorders>
          </w:tcPr>
          <w:p>
            <w:pPr>
              <w:pStyle w:val="Normal"/>
              <w:widowControl w:val="false"/>
              <w:spacing w:lineRule="auto" w:line="264"/>
              <w:rPr/>
            </w:pPr>
            <w:r>
              <w:rPr/>
              <w:t>100%</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233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23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233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NA</w:t>
            </w:r>
          </w:p>
        </w:tc>
        <w:tc>
          <w:tcPr>
            <w:tcW w:w="2334"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Total</w:t>
            </w:r>
          </w:p>
        </w:tc>
        <w:tc>
          <w:tcPr>
            <w:tcW w:w="233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color w:val="000000" w:themeColor="text1"/>
              </w:rPr>
              <w:t>26</w:t>
            </w:r>
          </w:p>
        </w:tc>
        <w:tc>
          <w:tcPr>
            <w:tcW w:w="23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color w:val="000000" w:themeColor="text1"/>
              </w:rPr>
              <w:t>100%</w:t>
            </w:r>
          </w:p>
        </w:tc>
        <w:tc>
          <w:tcPr>
            <w:tcW w:w="233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3</w:t>
            </w:r>
          </w:p>
        </w:tc>
        <w:tc>
          <w:tcPr>
            <w:tcW w:w="2334" w:type="dxa"/>
            <w:tcBorders>
              <w:top w:val="single" w:sz="6" w:space="0" w:color="000000"/>
              <w:left w:val="single" w:sz="6" w:space="0" w:color="000000"/>
              <w:bottom w:val="single" w:sz="6" w:space="0" w:color="000000"/>
            </w:tcBorders>
          </w:tcPr>
          <w:p>
            <w:pPr>
              <w:pStyle w:val="Normal"/>
              <w:widowControl w:val="false"/>
              <w:spacing w:lineRule="auto" w:line="264"/>
              <w:rPr/>
            </w:pPr>
            <w:r>
              <w:rPr/>
              <w:t>100%</w:t>
            </w:r>
          </w:p>
        </w:tc>
      </w:tr>
    </w:tbl>
    <w:p>
      <w:pPr>
        <w:pStyle w:val="Normal"/>
        <w:spacing w:before="0" w:after="120"/>
        <w:rPr/>
      </w:pPr>
      <w:r>
        <w:rPr/>
      </w:r>
    </w:p>
    <w:p>
      <w:pPr>
        <w:pStyle w:val="Normal"/>
        <w:keepNext w:val="true"/>
        <w:keepLines/>
        <w:spacing w:lineRule="auto" w:line="276" w:before="160" w:after="80"/>
        <w:rPr/>
      </w:pPr>
      <w:r>
        <w:rPr>
          <w:b/>
          <w:bCs/>
        </w:rPr>
        <w:t>6. Is there a mechanism available to receive and redress grievances for the following categories of employees and worker? If yes, give details of the mechanism in brief.</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649"/>
        <w:gridCol w:w="2424"/>
        <w:gridCol w:w="6463"/>
      </w:tblGrid>
      <w:tr>
        <w:trPr>
          <w:tblHeader w:val="true"/>
        </w:trPr>
        <w:tc>
          <w:tcPr>
            <w:tcW w:w="1649"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242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Yes/No</w:t>
            </w:r>
          </w:p>
        </w:tc>
        <w:tc>
          <w:tcPr>
            <w:tcW w:w="6463"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If Yes, then give details of the mechanism in brief</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Permanent Workers</w:t>
            </w:r>
          </w:p>
        </w:tc>
        <w:tc>
          <w:tcPr>
            <w:tcW w:w="24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Yes</w:t>
            </w:r>
          </w:p>
        </w:tc>
        <w:tc>
          <w:tcPr>
            <w:tcW w:w="6463" w:type="dxa"/>
            <w:tcBorders>
              <w:top w:val="single" w:sz="6" w:space="0" w:color="000000"/>
              <w:left w:val="single" w:sz="6" w:space="0" w:color="000000"/>
              <w:bottom w:val="single" w:sz="6" w:space="0" w:color="000000"/>
            </w:tcBorders>
          </w:tcPr>
          <w:p>
            <w:pPr>
              <w:pStyle w:val="Normal"/>
              <w:widowControl w:val="false"/>
              <w:spacing w:lineRule="auto" w:line="264"/>
              <w:rPr/>
            </w:pPr>
            <w:r>
              <w:rPr/>
              <w:t>KIL has in place a robust grievance redressal mechanism for employees and workers which has been detailed in the policy on redressal of Stakeholders’ Grievances (Link: 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Other than Permanent Workers</w:t>
            </w:r>
          </w:p>
        </w:tc>
        <w:tc>
          <w:tcPr>
            <w:tcW w:w="24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Yes</w:t>
            </w:r>
          </w:p>
        </w:tc>
        <w:tc>
          <w:tcPr>
            <w:tcW w:w="6463" w:type="dxa"/>
            <w:tcBorders>
              <w:top w:val="single" w:sz="6" w:space="0" w:color="000000"/>
              <w:left w:val="single" w:sz="6" w:space="0" w:color="000000"/>
              <w:bottom w:val="single" w:sz="6" w:space="0" w:color="000000"/>
            </w:tcBorders>
          </w:tcPr>
          <w:p>
            <w:pPr>
              <w:pStyle w:val="Normal"/>
              <w:widowControl w:val="false"/>
              <w:spacing w:lineRule="auto" w:line="264"/>
              <w:rPr/>
            </w:pPr>
            <w:r>
              <w:rPr/>
              <w:t>KIL has in place a robust grievance redressal mechanism for employees and workers which has been detailed in the policy on redressal of Stakeholders’ Grievances (Link: 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Permanent Employees</w:t>
            </w:r>
          </w:p>
        </w:tc>
        <w:tc>
          <w:tcPr>
            <w:tcW w:w="24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Yes</w:t>
            </w:r>
          </w:p>
        </w:tc>
        <w:tc>
          <w:tcPr>
            <w:tcW w:w="6463" w:type="dxa"/>
            <w:tcBorders>
              <w:top w:val="single" w:sz="6" w:space="0" w:color="000000"/>
              <w:left w:val="single" w:sz="6" w:space="0" w:color="000000"/>
              <w:bottom w:val="single" w:sz="6" w:space="0" w:color="000000"/>
            </w:tcBorders>
          </w:tcPr>
          <w:p>
            <w:pPr>
              <w:pStyle w:val="Normal"/>
              <w:widowControl w:val="false"/>
              <w:spacing w:lineRule="auto" w:line="264"/>
              <w:rPr/>
            </w:pPr>
            <w:r>
              <w:rPr/>
              <w:t>KIL has in place a robust grievance redressal mechanism for employees and workers which has been detailed in the policy on redressal of Stakeholders’ Grievances (Link: 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Other than Permanent Employees</w:t>
            </w:r>
          </w:p>
        </w:tc>
        <w:tc>
          <w:tcPr>
            <w:tcW w:w="24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Yes</w:t>
            </w:r>
          </w:p>
        </w:tc>
        <w:tc>
          <w:tcPr>
            <w:tcW w:w="6463" w:type="dxa"/>
            <w:tcBorders>
              <w:top w:val="single" w:sz="6" w:space="0" w:color="000000"/>
              <w:left w:val="single" w:sz="6" w:space="0" w:color="000000"/>
              <w:bottom w:val="single" w:sz="6" w:space="0" w:color="000000"/>
            </w:tcBorders>
          </w:tcPr>
          <w:p>
            <w:pPr>
              <w:pStyle w:val="Normal"/>
              <w:widowControl w:val="false"/>
              <w:spacing w:lineRule="auto" w:line="264"/>
              <w:rPr/>
            </w:pPr>
            <w:r>
              <w:rPr/>
              <w:t>KIL has in place a robust grievance redressal mechanism for employees and workers which has been detailed in the policy on redressal of Stakeholders’ Grievances (Link: 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KIL has in place a robust grievance redressal mechanism for employees and workers which has been detailed in the policy on redressal of Stakeholders’ Grievances (Link: https://www.kennametal.com/in/en/about-us/kil-financials/policies.html).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pPr>
        <w:pStyle w:val="Normal"/>
        <w:keepNext w:val="true"/>
        <w:keepLines/>
        <w:spacing w:lineRule="auto" w:line="276" w:before="160" w:after="80"/>
        <w:rPr/>
      </w:pPr>
      <w:r>
        <w:rPr>
          <w:b/>
          <w:bCs/>
        </w:rPr>
        <w:t>7. Membership of employees and worker in association(s) or Unions recognised by the listed entity:</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374"/>
        <w:gridCol w:w="1289"/>
        <w:gridCol w:w="2289"/>
        <w:gridCol w:w="1002"/>
        <w:gridCol w:w="1289"/>
        <w:gridCol w:w="2289"/>
        <w:gridCol w:w="1003"/>
      </w:tblGrid>
      <w:tr>
        <w:trPr>
          <w:tblHeader w:val="true"/>
        </w:trPr>
        <w:tc>
          <w:tcPr>
            <w:tcW w:w="1374"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28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employees / workers in respective category (A) FY (2025-26)</w:t>
            </w:r>
          </w:p>
        </w:tc>
        <w:tc>
          <w:tcPr>
            <w:tcW w:w="228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employees / workers in respective category, who are part of association(s) or Union (B) FY (2025-26)</w:t>
            </w:r>
          </w:p>
        </w:tc>
        <w:tc>
          <w:tcPr>
            <w:tcW w:w="100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(B / A) FY (2025-26)</w:t>
            </w:r>
          </w:p>
        </w:tc>
        <w:tc>
          <w:tcPr>
            <w:tcW w:w="128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employees / workers in respective category (C) FY (2024-25)</w:t>
            </w:r>
          </w:p>
        </w:tc>
        <w:tc>
          <w:tcPr>
            <w:tcW w:w="228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employees / workers in respective category, who are part of association(s) or Union (D) FY (2024-25)</w:t>
            </w:r>
          </w:p>
        </w:tc>
        <w:tc>
          <w:tcPr>
            <w:tcW w:w="1003"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(D / C) FY (2024-25)</w:t>
            </w:r>
          </w:p>
        </w:tc>
      </w:tr>
      <w:tr>
        <w:trPr/>
        <w:tc>
          <w:tcPr>
            <w:tcW w:w="1374" w:type="dxa"/>
            <w:tcBorders>
              <w:top w:val="single" w:sz="6" w:space="0" w:color="000000"/>
              <w:bottom w:val="single" w:sz="6" w:space="0" w:color="000000"/>
              <w:right w:val="single" w:sz="6" w:space="0" w:color="000000"/>
            </w:tcBorders>
          </w:tcPr>
          <w:p>
            <w:pPr>
              <w:pStyle w:val="Normal"/>
              <w:widowControl w:val="false"/>
              <w:spacing w:lineRule="auto" w:line="264"/>
              <w:rPr/>
            </w:pPr>
            <w:r>
              <w:rPr/>
              <w:t>Total Permanent Employees</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459</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451</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1374"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422</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417</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1374"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37</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34</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1374" w:type="dxa"/>
            <w:tcBorders>
              <w:top w:val="single" w:sz="6" w:space="0" w:color="000000"/>
              <w:bottom w:val="single" w:sz="6" w:space="0" w:color="000000"/>
              <w:right w:val="single" w:sz="6" w:space="0" w:color="000000"/>
            </w:tcBorders>
          </w:tcPr>
          <w:p>
            <w:pPr>
              <w:pStyle w:val="Normal"/>
              <w:widowControl w:val="false"/>
              <w:spacing w:lineRule="auto" w:line="264"/>
              <w:rPr/>
            </w:pPr>
            <w:r>
              <w:rPr/>
              <w:t>Total Permanent Workers</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 w:after="0"/>
              <w:ind w:left="7" w:hanging="0"/>
              <w:jc w:val="center"/>
              <w:rPr/>
            </w:pPr>
            <w:r>
              <w:rPr/>
            </w:r>
          </w:p>
          <w:p>
            <w:pPr>
              <w:pStyle w:val="Normal"/>
              <w:widowControl w:val="false"/>
              <w:spacing w:lineRule="auto" w:line="264"/>
              <w:jc w:val="center"/>
              <w:rPr/>
            </w:pPr>
            <w:r>
              <w:rPr/>
              <w:t>314</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before="1" w:after="0"/>
              <w:ind w:left="7" w:hanging="0"/>
              <w:jc w:val="center"/>
              <w:rPr/>
            </w:pPr>
            <w:r>
              <w:rPr/>
            </w:r>
          </w:p>
          <w:p>
            <w:pPr>
              <w:pStyle w:val="Normal"/>
              <w:widowControl w:val="false"/>
              <w:spacing w:lineRule="auto" w:line="264"/>
              <w:jc w:val="center"/>
              <w:rPr/>
            </w:pPr>
            <w:r>
              <w:rPr/>
              <w:t>296</w:t>
            </w:r>
          </w:p>
        </w:tc>
        <w:tc>
          <w:tcPr>
            <w:tcW w:w="10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94.27%</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321</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286</w:t>
            </w:r>
          </w:p>
        </w:tc>
        <w:tc>
          <w:tcPr>
            <w:tcW w:w="10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90.2%</w:t>
            </w:r>
          </w:p>
        </w:tc>
      </w:tr>
      <w:tr>
        <w:trPr/>
        <w:tc>
          <w:tcPr>
            <w:tcW w:w="1374"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314</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296</w:t>
            </w:r>
          </w:p>
        </w:tc>
        <w:tc>
          <w:tcPr>
            <w:tcW w:w="10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94.27%</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321</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290</w:t>
            </w:r>
          </w:p>
        </w:tc>
        <w:tc>
          <w:tcPr>
            <w:tcW w:w="10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90.3%</w:t>
            </w:r>
          </w:p>
        </w:tc>
      </w:tr>
      <w:tr>
        <w:trPr/>
        <w:tc>
          <w:tcPr>
            <w:tcW w:w="1374"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00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22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0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bl>
    <w:p>
      <w:pPr>
        <w:pStyle w:val="Normal"/>
        <w:spacing w:before="0" w:after="120"/>
        <w:rPr>
          <w:highlight w:val="yellow"/>
        </w:rPr>
      </w:pPr>
      <w:r>
        <w:rPr>
          <w:highlight w:val="yellow"/>
        </w:rPr>
      </w:r>
    </w:p>
    <w:p>
      <w:pPr>
        <w:pStyle w:val="Normal"/>
        <w:keepNext w:val="true"/>
        <w:keepLines/>
        <w:spacing w:lineRule="auto" w:line="276" w:before="160" w:after="80"/>
        <w:rPr>
          <w:b/>
          <w:b/>
          <w:bCs/>
        </w:rPr>
      </w:pPr>
      <w:r>
        <w:rPr>
          <w:b/>
          <w:bCs/>
        </w:rPr>
        <w:t>8. Details of training given to employees and workers:</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676"/>
        <w:gridCol w:w="659"/>
        <w:gridCol w:w="1642"/>
        <w:gridCol w:w="779"/>
        <w:gridCol w:w="1063"/>
        <w:gridCol w:w="793"/>
        <w:gridCol w:w="662"/>
        <w:gridCol w:w="1809"/>
        <w:gridCol w:w="602"/>
        <w:gridCol w:w="1252"/>
        <w:gridCol w:w="597"/>
      </w:tblGrid>
      <w:tr>
        <w:trPr>
          <w:trHeight w:val="1453" w:hRule="atLeast"/>
        </w:trPr>
        <w:tc>
          <w:tcPr>
            <w:tcW w:w="676" w:type="dxa"/>
            <w:vMerge w:val="restart"/>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Category</w:t>
            </w:r>
          </w:p>
        </w:tc>
        <w:tc>
          <w:tcPr>
            <w:tcW w:w="4936" w:type="dxa"/>
            <w:gridSpan w:val="5"/>
            <w:tcBorders>
              <w:top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FY 2025-2026</w:t>
              <w:br/>
              <w:t>Current Financial Year</w:t>
            </w:r>
          </w:p>
        </w:tc>
        <w:tc>
          <w:tcPr>
            <w:tcW w:w="4922" w:type="dxa"/>
            <w:gridSpan w:val="5"/>
            <w:tcBorders>
              <w:top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FY 2024-2025</w:t>
              <w:br/>
              <w:t>Current Financial Year</w:t>
            </w:r>
          </w:p>
        </w:tc>
      </w:tr>
      <w:tr>
        <w:trPr>
          <w:trHeight w:val="290" w:hRule="atLeast"/>
        </w:trPr>
        <w:tc>
          <w:tcPr>
            <w:tcW w:w="6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bCs/>
                <w:sz w:val="22"/>
                <w:szCs w:val="22"/>
              </w:rPr>
            </w:pPr>
            <w:r>
              <w:rPr>
                <w:b/>
                <w:bCs/>
                <w:sz w:val="22"/>
                <w:szCs w:val="22"/>
              </w:rPr>
            </w:r>
          </w:p>
        </w:tc>
        <w:tc>
          <w:tcPr>
            <w:tcW w:w="659" w:type="dxa"/>
            <w:vMerge w:val="restart"/>
            <w:tcBorders>
              <w:left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Total (A)</w:t>
            </w:r>
          </w:p>
        </w:tc>
        <w:tc>
          <w:tcPr>
            <w:tcW w:w="164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On health and safety measures</w:t>
            </w:r>
          </w:p>
        </w:tc>
        <w:tc>
          <w:tcPr>
            <w:tcW w:w="779"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w:t>
            </w:r>
          </w:p>
        </w:tc>
        <w:tc>
          <w:tcPr>
            <w:tcW w:w="1063"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On skill upgradation</w:t>
            </w:r>
          </w:p>
        </w:tc>
        <w:tc>
          <w:tcPr>
            <w:tcW w:w="793"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w:t>
            </w:r>
          </w:p>
        </w:tc>
        <w:tc>
          <w:tcPr>
            <w:tcW w:w="662" w:type="dxa"/>
            <w:vMerge w:val="restart"/>
            <w:tcBorders>
              <w:left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Total (D)</w:t>
            </w:r>
          </w:p>
        </w:tc>
        <w:tc>
          <w:tcPr>
            <w:tcW w:w="1809"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On health and safety measures</w:t>
            </w:r>
          </w:p>
        </w:tc>
        <w:tc>
          <w:tcPr>
            <w:tcW w:w="60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w:t>
            </w:r>
          </w:p>
        </w:tc>
        <w:tc>
          <w:tcPr>
            <w:tcW w:w="125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On skill upgradation</w:t>
            </w:r>
          </w:p>
        </w:tc>
        <w:tc>
          <w:tcPr>
            <w:tcW w:w="597"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w:t>
            </w:r>
          </w:p>
        </w:tc>
      </w:tr>
      <w:tr>
        <w:trPr>
          <w:trHeight w:val="290" w:hRule="atLeast"/>
        </w:trPr>
        <w:tc>
          <w:tcPr>
            <w:tcW w:w="6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bCs/>
                <w:sz w:val="22"/>
                <w:szCs w:val="22"/>
              </w:rPr>
            </w:pPr>
            <w:r>
              <w:rPr>
                <w:b/>
                <w:bCs/>
                <w:sz w:val="22"/>
                <w:szCs w:val="22"/>
              </w:rPr>
            </w:r>
          </w:p>
        </w:tc>
        <w:tc>
          <w:tcPr>
            <w:tcW w:w="659" w:type="dxa"/>
            <w:vMerge w:val="continue"/>
            <w:tcBorders>
              <w:left w:val="single" w:sz="4" w:space="0" w:color="000000"/>
              <w:bottom w:val="single" w:sz="4" w:space="0" w:color="000000"/>
              <w:right w:val="single" w:sz="4" w:space="0" w:color="000000"/>
            </w:tcBorders>
            <w:vAlign w:val="center"/>
          </w:tcPr>
          <w:p>
            <w:pPr>
              <w:pStyle w:val="Normal"/>
              <w:widowControl w:val="false"/>
              <w:rPr>
                <w:b/>
                <w:b/>
                <w:bCs/>
                <w:sz w:val="22"/>
                <w:szCs w:val="22"/>
              </w:rPr>
            </w:pPr>
            <w:r>
              <w:rPr>
                <w:b/>
                <w:bCs/>
                <w:sz w:val="22"/>
                <w:szCs w:val="22"/>
              </w:rPr>
            </w:r>
          </w:p>
        </w:tc>
        <w:tc>
          <w:tcPr>
            <w:tcW w:w="164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No. (B)</w:t>
            </w:r>
          </w:p>
        </w:tc>
        <w:tc>
          <w:tcPr>
            <w:tcW w:w="779"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(B/A)</w:t>
            </w:r>
          </w:p>
        </w:tc>
        <w:tc>
          <w:tcPr>
            <w:tcW w:w="1063"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No. (C)</w:t>
            </w:r>
          </w:p>
        </w:tc>
        <w:tc>
          <w:tcPr>
            <w:tcW w:w="793"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(C/A)</w:t>
            </w:r>
          </w:p>
        </w:tc>
        <w:tc>
          <w:tcPr>
            <w:tcW w:w="662" w:type="dxa"/>
            <w:vMerge w:val="continue"/>
            <w:tcBorders>
              <w:left w:val="single" w:sz="4" w:space="0" w:color="000000"/>
              <w:bottom w:val="single" w:sz="4" w:space="0" w:color="000000"/>
              <w:right w:val="single" w:sz="4" w:space="0" w:color="000000"/>
            </w:tcBorders>
            <w:vAlign w:val="center"/>
          </w:tcPr>
          <w:p>
            <w:pPr>
              <w:pStyle w:val="Normal"/>
              <w:widowControl w:val="false"/>
              <w:rPr>
                <w:b/>
                <w:b/>
                <w:bCs/>
                <w:sz w:val="22"/>
                <w:szCs w:val="22"/>
              </w:rPr>
            </w:pPr>
            <w:r>
              <w:rPr>
                <w:b/>
                <w:bCs/>
                <w:sz w:val="22"/>
                <w:szCs w:val="22"/>
              </w:rPr>
            </w:r>
          </w:p>
        </w:tc>
        <w:tc>
          <w:tcPr>
            <w:tcW w:w="1809"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No. (E)</w:t>
            </w:r>
          </w:p>
        </w:tc>
        <w:tc>
          <w:tcPr>
            <w:tcW w:w="60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(E/D)</w:t>
            </w:r>
          </w:p>
        </w:tc>
        <w:tc>
          <w:tcPr>
            <w:tcW w:w="125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No. (F)</w:t>
            </w:r>
          </w:p>
        </w:tc>
        <w:tc>
          <w:tcPr>
            <w:tcW w:w="597"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(F/D)</w:t>
            </w:r>
          </w:p>
        </w:tc>
      </w:tr>
      <w:tr>
        <w:trPr>
          <w:trHeight w:val="290" w:hRule="atLeast"/>
        </w:trPr>
        <w:tc>
          <w:tcPr>
            <w:tcW w:w="10534" w:type="dxa"/>
            <w:gridSpan w:val="11"/>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Employees</w:t>
            </w:r>
          </w:p>
        </w:tc>
      </w:tr>
      <w:tr>
        <w:trPr>
          <w:trHeight w:val="290" w:hRule="atLeast"/>
        </w:trPr>
        <w:tc>
          <w:tcPr>
            <w:tcW w:w="676"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Male</w:t>
            </w:r>
          </w:p>
        </w:tc>
        <w:tc>
          <w:tcPr>
            <w:tcW w:w="65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463</w:t>
            </w:r>
          </w:p>
        </w:tc>
        <w:tc>
          <w:tcPr>
            <w:tcW w:w="164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397</w:t>
            </w:r>
          </w:p>
        </w:tc>
        <w:tc>
          <w:tcPr>
            <w:tcW w:w="77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85.75</w:t>
            </w:r>
          </w:p>
        </w:tc>
        <w:tc>
          <w:tcPr>
            <w:tcW w:w="106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446</w:t>
            </w:r>
          </w:p>
        </w:tc>
        <w:tc>
          <w:tcPr>
            <w:tcW w:w="7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96.33</w:t>
            </w:r>
          </w:p>
        </w:tc>
        <w:tc>
          <w:tcPr>
            <w:tcW w:w="66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528</w:t>
            </w:r>
          </w:p>
        </w:tc>
        <w:tc>
          <w:tcPr>
            <w:tcW w:w="180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528</w:t>
            </w:r>
          </w:p>
        </w:tc>
        <w:tc>
          <w:tcPr>
            <w:tcW w:w="60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100%</w:t>
            </w:r>
          </w:p>
        </w:tc>
        <w:tc>
          <w:tcPr>
            <w:tcW w:w="125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437</w:t>
            </w:r>
          </w:p>
        </w:tc>
        <w:tc>
          <w:tcPr>
            <w:tcW w:w="59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82.77%</w:t>
            </w:r>
          </w:p>
        </w:tc>
      </w:tr>
      <w:tr>
        <w:trPr>
          <w:trHeight w:val="290" w:hRule="atLeast"/>
        </w:trPr>
        <w:tc>
          <w:tcPr>
            <w:tcW w:w="676"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Female</w:t>
            </w:r>
          </w:p>
        </w:tc>
        <w:tc>
          <w:tcPr>
            <w:tcW w:w="65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w:t>
            </w:r>
          </w:p>
        </w:tc>
        <w:tc>
          <w:tcPr>
            <w:tcW w:w="164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41</w:t>
            </w:r>
          </w:p>
        </w:tc>
        <w:tc>
          <w:tcPr>
            <w:tcW w:w="77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82.00</w:t>
            </w:r>
          </w:p>
        </w:tc>
        <w:tc>
          <w:tcPr>
            <w:tcW w:w="106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48</w:t>
            </w:r>
          </w:p>
        </w:tc>
        <w:tc>
          <w:tcPr>
            <w:tcW w:w="7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96.00</w:t>
            </w:r>
          </w:p>
        </w:tc>
        <w:tc>
          <w:tcPr>
            <w:tcW w:w="66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44</w:t>
            </w:r>
          </w:p>
        </w:tc>
        <w:tc>
          <w:tcPr>
            <w:tcW w:w="180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44</w:t>
            </w:r>
          </w:p>
        </w:tc>
        <w:tc>
          <w:tcPr>
            <w:tcW w:w="60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100%</w:t>
            </w:r>
          </w:p>
        </w:tc>
        <w:tc>
          <w:tcPr>
            <w:tcW w:w="125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36</w:t>
            </w:r>
          </w:p>
        </w:tc>
        <w:tc>
          <w:tcPr>
            <w:tcW w:w="59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81.82%</w:t>
            </w:r>
          </w:p>
        </w:tc>
      </w:tr>
      <w:tr>
        <w:trPr>
          <w:trHeight w:val="290" w:hRule="atLeast"/>
        </w:trPr>
        <w:tc>
          <w:tcPr>
            <w:tcW w:w="676"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Total</w:t>
            </w:r>
          </w:p>
        </w:tc>
        <w:tc>
          <w:tcPr>
            <w:tcW w:w="65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513</w:t>
            </w:r>
          </w:p>
        </w:tc>
        <w:tc>
          <w:tcPr>
            <w:tcW w:w="164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438</w:t>
            </w:r>
          </w:p>
        </w:tc>
        <w:tc>
          <w:tcPr>
            <w:tcW w:w="77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85.38</w:t>
            </w:r>
          </w:p>
        </w:tc>
        <w:tc>
          <w:tcPr>
            <w:tcW w:w="106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494</w:t>
            </w:r>
          </w:p>
        </w:tc>
        <w:tc>
          <w:tcPr>
            <w:tcW w:w="7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96.30</w:t>
            </w:r>
          </w:p>
        </w:tc>
        <w:tc>
          <w:tcPr>
            <w:tcW w:w="66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572</w:t>
            </w:r>
          </w:p>
        </w:tc>
        <w:tc>
          <w:tcPr>
            <w:tcW w:w="180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572</w:t>
            </w:r>
          </w:p>
        </w:tc>
        <w:tc>
          <w:tcPr>
            <w:tcW w:w="60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100%</w:t>
            </w:r>
          </w:p>
        </w:tc>
        <w:tc>
          <w:tcPr>
            <w:tcW w:w="125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473</w:t>
            </w:r>
          </w:p>
        </w:tc>
        <w:tc>
          <w:tcPr>
            <w:tcW w:w="59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82.69%</w:t>
            </w:r>
          </w:p>
        </w:tc>
      </w:tr>
      <w:tr>
        <w:trPr>
          <w:trHeight w:val="290" w:hRule="atLeast"/>
        </w:trPr>
        <w:tc>
          <w:tcPr>
            <w:tcW w:w="10534" w:type="dxa"/>
            <w:gridSpan w:val="11"/>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b/>
                <w:b/>
                <w:bCs/>
                <w:sz w:val="22"/>
                <w:szCs w:val="22"/>
                <w:highlight w:val="yellow"/>
              </w:rPr>
            </w:pPr>
            <w:r>
              <w:rPr>
                <w:b/>
                <w:bCs/>
                <w:sz w:val="22"/>
                <w:szCs w:val="22"/>
              </w:rPr>
              <w:t>Workers</w:t>
            </w:r>
          </w:p>
        </w:tc>
      </w:tr>
      <w:tr>
        <w:trPr>
          <w:trHeight w:val="290" w:hRule="atLeast"/>
        </w:trPr>
        <w:tc>
          <w:tcPr>
            <w:tcW w:w="676"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Male</w:t>
            </w:r>
          </w:p>
        </w:tc>
        <w:tc>
          <w:tcPr>
            <w:tcW w:w="65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509</w:t>
            </w:r>
          </w:p>
        </w:tc>
        <w:tc>
          <w:tcPr>
            <w:tcW w:w="164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498</w:t>
            </w:r>
          </w:p>
        </w:tc>
        <w:tc>
          <w:tcPr>
            <w:tcW w:w="77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97.84</w:t>
            </w:r>
          </w:p>
        </w:tc>
        <w:tc>
          <w:tcPr>
            <w:tcW w:w="106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486</w:t>
            </w:r>
          </w:p>
        </w:tc>
        <w:tc>
          <w:tcPr>
            <w:tcW w:w="7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95.48</w:t>
            </w:r>
          </w:p>
        </w:tc>
        <w:tc>
          <w:tcPr>
            <w:tcW w:w="66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425</w:t>
            </w:r>
          </w:p>
        </w:tc>
        <w:tc>
          <w:tcPr>
            <w:tcW w:w="180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425</w:t>
            </w:r>
          </w:p>
        </w:tc>
        <w:tc>
          <w:tcPr>
            <w:tcW w:w="60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100%</w:t>
            </w:r>
          </w:p>
        </w:tc>
        <w:tc>
          <w:tcPr>
            <w:tcW w:w="125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41</w:t>
            </w:r>
          </w:p>
        </w:tc>
        <w:tc>
          <w:tcPr>
            <w:tcW w:w="59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9.65%</w:t>
            </w:r>
          </w:p>
        </w:tc>
      </w:tr>
      <w:tr>
        <w:trPr>
          <w:trHeight w:val="290" w:hRule="atLeast"/>
        </w:trPr>
        <w:tc>
          <w:tcPr>
            <w:tcW w:w="676"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Female</w:t>
            </w:r>
          </w:p>
        </w:tc>
        <w:tc>
          <w:tcPr>
            <w:tcW w:w="65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164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77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0.00</w:t>
            </w:r>
          </w:p>
        </w:tc>
        <w:tc>
          <w:tcPr>
            <w:tcW w:w="106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7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0.00</w:t>
            </w:r>
          </w:p>
        </w:tc>
        <w:tc>
          <w:tcPr>
            <w:tcW w:w="66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180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60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125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c>
          <w:tcPr>
            <w:tcW w:w="59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0%</w:t>
            </w:r>
          </w:p>
        </w:tc>
      </w:tr>
      <w:tr>
        <w:trPr>
          <w:trHeight w:val="290" w:hRule="atLeast"/>
        </w:trPr>
        <w:tc>
          <w:tcPr>
            <w:tcW w:w="676"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Total</w:t>
            </w:r>
          </w:p>
        </w:tc>
        <w:tc>
          <w:tcPr>
            <w:tcW w:w="65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509</w:t>
            </w:r>
          </w:p>
        </w:tc>
        <w:tc>
          <w:tcPr>
            <w:tcW w:w="164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498</w:t>
            </w:r>
          </w:p>
        </w:tc>
        <w:tc>
          <w:tcPr>
            <w:tcW w:w="77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97.84</w:t>
            </w:r>
          </w:p>
        </w:tc>
        <w:tc>
          <w:tcPr>
            <w:tcW w:w="106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486</w:t>
            </w:r>
          </w:p>
        </w:tc>
        <w:tc>
          <w:tcPr>
            <w:tcW w:w="7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95.48</w:t>
            </w:r>
          </w:p>
        </w:tc>
        <w:tc>
          <w:tcPr>
            <w:tcW w:w="66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425</w:t>
            </w:r>
          </w:p>
        </w:tc>
        <w:tc>
          <w:tcPr>
            <w:tcW w:w="1809"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425</w:t>
            </w:r>
          </w:p>
        </w:tc>
        <w:tc>
          <w:tcPr>
            <w:tcW w:w="60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100%</w:t>
            </w:r>
          </w:p>
        </w:tc>
        <w:tc>
          <w:tcPr>
            <w:tcW w:w="125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41</w:t>
            </w:r>
          </w:p>
        </w:tc>
        <w:tc>
          <w:tcPr>
            <w:tcW w:w="59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9.65%</w:t>
            </w:r>
          </w:p>
        </w:tc>
      </w:tr>
    </w:tbl>
    <w:p>
      <w:pPr>
        <w:pStyle w:val="Normal"/>
        <w:keepNext w:val="true"/>
        <w:keepLines/>
        <w:spacing w:lineRule="auto" w:line="276" w:before="160" w:after="80"/>
        <w:rPr>
          <w:b/>
          <w:b/>
          <w:bCs/>
          <w:highlight w:val="yellow"/>
        </w:rPr>
      </w:pPr>
      <w:r>
        <w:rPr>
          <w:b/>
          <w:bCs/>
          <w:highlight w:val="yellow"/>
        </w:rPr>
      </w:r>
    </w:p>
    <w:p>
      <w:pPr>
        <w:pStyle w:val="Normal"/>
        <w:spacing w:before="0" w:after="120"/>
        <w:rPr>
          <w:highlight w:val="yellow"/>
        </w:rPr>
      </w:pPr>
      <w:r>
        <w:rPr>
          <w:highlight w:val="yellow"/>
        </w:rPr>
      </w:r>
    </w:p>
    <w:p>
      <w:pPr>
        <w:pStyle w:val="Normal"/>
        <w:keepNext w:val="true"/>
        <w:keepLines/>
        <w:spacing w:lineRule="auto" w:line="276" w:before="160" w:after="80"/>
        <w:rPr/>
      </w:pPr>
      <w:r>
        <w:rPr>
          <w:b/>
          <w:bCs/>
        </w:rPr>
        <w:t>9. Details of performance and career development reviews of employees and worker: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850"/>
        <w:gridCol w:w="1324"/>
        <w:gridCol w:w="1325"/>
        <w:gridCol w:w="1326"/>
        <w:gridCol w:w="1324"/>
        <w:gridCol w:w="1326"/>
        <w:gridCol w:w="2060"/>
      </w:tblGrid>
      <w:tr>
        <w:trPr>
          <w:tblHeader w:val="true"/>
        </w:trPr>
        <w:tc>
          <w:tcPr>
            <w:tcW w:w="18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Category</w:t>
            </w:r>
          </w:p>
        </w:tc>
        <w:tc>
          <w:tcPr>
            <w:tcW w:w="3975" w:type="dxa"/>
            <w:gridSpan w:val="3"/>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jc w:val="center"/>
              <w:rPr/>
            </w:pPr>
            <w:r>
              <w:rPr>
                <w:b/>
                <w:bCs/>
              </w:rPr>
              <w:t>FY 2024-2025 (Current Financial Year)</w:t>
            </w:r>
          </w:p>
        </w:tc>
        <w:tc>
          <w:tcPr>
            <w:tcW w:w="4710" w:type="dxa"/>
            <w:gridSpan w:val="3"/>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jc w:val="center"/>
              <w:rPr/>
            </w:pPr>
            <w:r>
              <w:rPr>
                <w:b/>
                <w:bCs/>
              </w:rPr>
              <w:t>FY 2023-2024 (Previous Financial Year)</w:t>
            </w:r>
          </w:p>
        </w:tc>
      </w:tr>
      <w:tr>
        <w:trPr>
          <w:tblHeader w:val="true"/>
        </w:trPr>
        <w:tc>
          <w:tcPr>
            <w:tcW w:w="185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32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(A)</w:t>
            </w:r>
          </w:p>
        </w:tc>
        <w:tc>
          <w:tcPr>
            <w:tcW w:w="132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(B)</w:t>
            </w:r>
          </w:p>
        </w:tc>
        <w:tc>
          <w:tcPr>
            <w:tcW w:w="13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(B/A)</w:t>
            </w:r>
          </w:p>
        </w:tc>
        <w:tc>
          <w:tcPr>
            <w:tcW w:w="132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Total (C)</w:t>
            </w:r>
          </w:p>
        </w:tc>
        <w:tc>
          <w:tcPr>
            <w:tcW w:w="132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(D)</w:t>
            </w:r>
          </w:p>
        </w:tc>
        <w:tc>
          <w:tcPr>
            <w:tcW w:w="2060"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(D/C)</w:t>
            </w:r>
          </w:p>
        </w:tc>
      </w:tr>
      <w:tr>
        <w:trPr/>
        <w:tc>
          <w:tcPr>
            <w:tcW w:w="10535" w:type="dxa"/>
            <w:gridSpan w:val="7"/>
            <w:tcBorders>
              <w:top w:val="single" w:sz="6" w:space="0" w:color="000000"/>
              <w:bottom w:val="single" w:sz="6" w:space="0" w:color="000000"/>
            </w:tcBorders>
          </w:tcPr>
          <w:p>
            <w:pPr>
              <w:pStyle w:val="Normal"/>
              <w:widowControl w:val="false"/>
              <w:spacing w:lineRule="auto" w:line="264"/>
              <w:jc w:val="center"/>
              <w:rPr/>
            </w:pPr>
            <w:r>
              <w:rPr>
                <w:b/>
                <w:bCs/>
              </w:rPr>
              <w:t>Employees</w:t>
            </w:r>
          </w:p>
        </w:tc>
      </w:tr>
      <w:tr>
        <w:trPr/>
        <w:tc>
          <w:tcPr>
            <w:tcW w:w="185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422</w:t>
            </w:r>
          </w:p>
        </w:tc>
        <w:tc>
          <w:tcPr>
            <w:tcW w:w="13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402</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95.26%</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417</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396</w:t>
            </w:r>
          </w:p>
        </w:tc>
        <w:tc>
          <w:tcPr>
            <w:tcW w:w="2060"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yellow"/>
              </w:rPr>
            </w:pPr>
            <w:r>
              <w:rPr/>
              <w:t>95.0%</w:t>
            </w:r>
          </w:p>
        </w:tc>
      </w:tr>
      <w:tr>
        <w:trPr/>
        <w:tc>
          <w:tcPr>
            <w:tcW w:w="185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37</w:t>
            </w:r>
          </w:p>
        </w:tc>
        <w:tc>
          <w:tcPr>
            <w:tcW w:w="13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37</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100%</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34</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33</w:t>
            </w:r>
          </w:p>
        </w:tc>
        <w:tc>
          <w:tcPr>
            <w:tcW w:w="2060"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yellow"/>
              </w:rPr>
            </w:pPr>
            <w:r>
              <w:rPr/>
              <w:t>97.1%</w:t>
            </w:r>
          </w:p>
        </w:tc>
      </w:tr>
      <w:tr>
        <w:trPr/>
        <w:tc>
          <w:tcPr>
            <w:tcW w:w="185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Total</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459</w:t>
            </w:r>
          </w:p>
        </w:tc>
        <w:tc>
          <w:tcPr>
            <w:tcW w:w="13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439</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95.64%</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451</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429</w:t>
            </w:r>
          </w:p>
        </w:tc>
        <w:tc>
          <w:tcPr>
            <w:tcW w:w="2060"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yellow"/>
              </w:rPr>
            </w:pPr>
            <w:r>
              <w:rPr/>
              <w:t>95.1%</w:t>
            </w:r>
          </w:p>
        </w:tc>
      </w:tr>
      <w:tr>
        <w:trPr/>
        <w:tc>
          <w:tcPr>
            <w:tcW w:w="10535" w:type="dxa"/>
            <w:gridSpan w:val="7"/>
            <w:tcBorders>
              <w:top w:val="single" w:sz="6" w:space="0" w:color="000000"/>
              <w:bottom w:val="single" w:sz="6" w:space="0" w:color="000000"/>
            </w:tcBorders>
          </w:tcPr>
          <w:p>
            <w:pPr>
              <w:pStyle w:val="Normal"/>
              <w:widowControl w:val="false"/>
              <w:spacing w:lineRule="auto" w:line="264"/>
              <w:jc w:val="center"/>
              <w:rPr/>
            </w:pPr>
            <w:r>
              <w:rPr>
                <w:b/>
                <w:bCs/>
              </w:rPr>
              <w:t>Workers</w:t>
            </w:r>
          </w:p>
        </w:tc>
      </w:tr>
      <w:tr>
        <w:trPr/>
        <w:tc>
          <w:tcPr>
            <w:tcW w:w="1850" w:type="dxa"/>
            <w:tcBorders>
              <w:top w:val="single" w:sz="6" w:space="0" w:color="000000"/>
              <w:bottom w:val="single" w:sz="6" w:space="0" w:color="000000"/>
              <w:right w:val="single" w:sz="6" w:space="0" w:color="000000"/>
            </w:tcBorders>
          </w:tcPr>
          <w:p>
            <w:pPr>
              <w:pStyle w:val="Normal"/>
              <w:widowControl w:val="false"/>
              <w:spacing w:lineRule="auto" w:line="264"/>
              <w:rPr/>
            </w:pPr>
            <w:r>
              <w:rPr/>
              <w:t>Male</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314</w:t>
            </w:r>
          </w:p>
        </w:tc>
        <w:tc>
          <w:tcPr>
            <w:tcW w:w="13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0%</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321</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0</w:t>
            </w:r>
          </w:p>
        </w:tc>
        <w:tc>
          <w:tcPr>
            <w:tcW w:w="2060"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yellow"/>
              </w:rPr>
            </w:pPr>
            <w:r>
              <w:rPr/>
              <w:t>0%</w:t>
            </w:r>
          </w:p>
        </w:tc>
      </w:tr>
      <w:tr>
        <w:trPr/>
        <w:tc>
          <w:tcPr>
            <w:tcW w:w="1850" w:type="dxa"/>
            <w:tcBorders>
              <w:top w:val="single" w:sz="6" w:space="0" w:color="000000"/>
              <w:bottom w:val="single" w:sz="6" w:space="0" w:color="000000"/>
              <w:right w:val="single" w:sz="6" w:space="0" w:color="000000"/>
            </w:tcBorders>
          </w:tcPr>
          <w:p>
            <w:pPr>
              <w:pStyle w:val="Normal"/>
              <w:widowControl w:val="false"/>
              <w:spacing w:lineRule="auto" w:line="264"/>
              <w:rPr/>
            </w:pPr>
            <w:r>
              <w:rPr/>
              <w:t>Female</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3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0%</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 xml:space="preserve">     </w:t>
            </w:r>
            <w:r>
              <w:rPr/>
              <w:t>0</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0</w:t>
            </w:r>
          </w:p>
        </w:tc>
        <w:tc>
          <w:tcPr>
            <w:tcW w:w="2060"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yellow"/>
              </w:rPr>
            </w:pPr>
            <w:r>
              <w:rPr/>
              <w:t>0%</w:t>
            </w:r>
          </w:p>
        </w:tc>
      </w:tr>
      <w:tr>
        <w:trPr/>
        <w:tc>
          <w:tcPr>
            <w:tcW w:w="1850"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Total</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314</w:t>
            </w:r>
          </w:p>
        </w:tc>
        <w:tc>
          <w:tcPr>
            <w:tcW w:w="13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0%</w:t>
            </w:r>
          </w:p>
        </w:tc>
        <w:tc>
          <w:tcPr>
            <w:tcW w:w="132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321</w:t>
            </w:r>
          </w:p>
        </w:tc>
        <w:tc>
          <w:tcPr>
            <w:tcW w:w="132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t>0</w:t>
            </w:r>
          </w:p>
        </w:tc>
        <w:tc>
          <w:tcPr>
            <w:tcW w:w="2060"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yellow"/>
              </w:rPr>
            </w:pPr>
            <w:r>
              <w:rPr/>
              <w:t>0%</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Note: The performance management policy has been revised for FY25 to include employees who are on-roll till 31st March 2025. As of today, production employees/ workers (Union members) are not covered under performance management process.</w:t>
      </w:r>
    </w:p>
    <w:p>
      <w:pPr>
        <w:pStyle w:val="Normal"/>
        <w:keepNext w:val="true"/>
        <w:keepLines/>
        <w:spacing w:lineRule="auto" w:line="276" w:before="160" w:after="80"/>
        <w:rPr/>
      </w:pPr>
      <w:r>
        <w:rPr>
          <w:b/>
          <w:bCs/>
        </w:rPr>
        <w:t>10. Health and safety management system:</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7735"/>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73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Response</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a.Whether an occupational health and safety management system has been implemented by the entity? (Yes/ No).</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Yes</w:t>
            </w:r>
          </w:p>
        </w:tc>
      </w:tr>
      <w:tr>
        <w:trPr>
          <w:trHeight w:val="495" w:hRule="atLeast"/>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If yes, the coverage such system?</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Our manufacturing facility and head office at Bangalore are certified to the international standards ISO 45001:2018 Occupational Health and Safety Management System which is valid up to November 12, 2026. During the last recertification process, no non-conformance was flagged. This demonstrates KIL’s consistent effort to reduce accidents and illnesses related to the workplace. Internal audits are conducted regularly to ensure continuous improvement in safety standards and performance.</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b. What are the processes used to identify work-related hazards and assess risks on a routine and non-routine basis by the entity?</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Being certified to ISO 45001:2018, KIL has a robust procedure for Hazard Identification and Risk Assessment (HIRA). The findings from dynamic Job Safety Assessment (JSA) for nonroutine work along with the work permit system and Static JSA for routine work are considered while developing the HIRA. Daily walk-through audits, leadership safety walkthrough, internal audits, safety campaigns, toolbox talks, and quantitative risk assessment etc. along with employee concerns are considered during the risk identification process. This register is frequently reviewed and duly updated. As on date of this report, the company has identified several hazards and risks, for which mitigation measures have been implemented. As a business practice, any process change or incident would instigate necessary changes to the HIRA and associated procedures. Necessary KPIs have been designated against all mitigation measures which are frequently reported to the top management. Necessary corrective actions and preventive actions are implemented as part of continuous improvement of our processes.</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c.Whether you have processes for workers to report the work related hazards and to remove themselves from such risks?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Yes, Kennametal India, through its established HIRA register, has well-defined processes for both routine and non-routine jobs, which are integrated into the respective SOPs. Dynamic Job Safety Assessment (JSA) for non-routine work along with the work permit system and Static JSA for routine work are implemented to ensure safety. These procedures are frequently reviewed and updated. All employees are sensitized on all salient safety aspects through training. Furthermore, the employees and workers can escalate any safety related concerns in their tier meetings. Details of some of the processes in place for workers to report work-related hazards is described as follows : Stop Work Authority: It is one of the best ways to engage the workforce in preventing Fatality &amp; Serious Injury (FSI). KIL has empowered any staff, employee, worker, contractor or visitor to stop any work which is hazardous in nature, and which may cause injury to a person or damage to the company assets. It is a six-step process of Stop, Notify, Investigate, Correct, Communicate and Follow up. Once the correction is complete, the work can be resumed with the corrected method. The person who has successfully issued a Stop Work is recognized and rewarded. Find and Fix: It is another important process to ensure engagement of the workmen and staff in the prevention of FSIs. The worker / staff who identities any FSI will take up the work to correct the gap. Once the gap is closed, he/she will communicate back to EHS in a template on his/her work on Find &amp; Fix (F &amp; F). KIL’s manufacturing facility has a target for (F&amp;F), however it has exceeded the requirement by more than 3 to 4 times in the last reporting periods.</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d. Do the employees/ worker of the entity have access to non-occupational medical and healthcare services?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Yes, Kennametal India Limited has contracted with a local hospital at Bangalore for healthcare emergencies and with laboratories for annual medical check-up. Additionally, all our employees and workers and their direct dependent family members (including employee parents) are covered under medical insurance (for hospitalization). Additionally, all employees and workers are also covered under group personal accident and group term life insurance.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11. Details of safety related incidents,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8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2025-2026 (Current Financial Year)</w:t>
            </w:r>
          </w:p>
        </w:tc>
        <w:tc>
          <w:tcPr>
            <w:tcW w:w="386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2024-2025 (Previous Financial Year)</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Lost Time Injury Frequency Rate (LTIFR) (per one million-person hours worked) - Employees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Lost Time Injury Frequency Rate (LTIFR) (per one million-person hours worked) - Workers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recordable work-related injuries - Employees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recordable work-related injuries - Workers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No. of fatalities - Employees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No. of fatalities - Workers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High consequence work related injury or ill-health (excluding fatalities) - Employees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High consequence work related injury or ill-health (excluding fatalities) - Workers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bl>
    <w:p>
      <w:pPr>
        <w:pStyle w:val="Normal"/>
        <w:spacing w:before="0" w:after="120"/>
        <w:rPr>
          <w:highlight w:val="yellow"/>
        </w:rPr>
      </w:pPr>
      <w:r>
        <w:rPr>
          <w:highlight w:val="yellow"/>
        </w:rPr>
      </w:r>
    </w:p>
    <w:p>
      <w:pPr>
        <w:pStyle w:val="Normal"/>
        <w:spacing w:lineRule="auto" w:line="264" w:before="80" w:after="120"/>
        <w:ind w:left="100" w:hanging="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12</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Describe the measures taken by the entity to ensure a safe and healthy work place.</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Kennametal India has a strong safety culture. The operational factory has a dedicated department safety committee, to review the policy, procedures, key performance indicators and systems of Health, Safety and Environment. The tier board meetings and walk-through audits are instrumental in addressing the safety concerns and conditions at the factory. Various kinds of initiatives, drive/campaigns along with trainings are regularly provided for all employees. These ensure continual improvement in the safety performance. i. KIL has an OHS Policy, the briefing of which is included as part of its induction training, general training and drills for relevant stakeholders including but not limited to employees, workers, and contractors. ii. KIL conducts webinars on health-related topics (e.g., ergonomics, hypertension etc.) regularly. iii. The operational plant has a department-level EHS safety committee that ensures compliance with the Standard Operating Procedure (SOP) developed as per ISO 45001:2018 iv. KIL has developed SOPs for all major activities with its plants to ensure a safe working environment. v. All staff and visitors are empowered to use Stop Work Authority for identifying hazardous work conditions and taking corrective actions vi. Daily tier board meetings with fixed agenda on safety are conducted. All incidents within KIL are investigated thoroughly for root cause identification (RCA) and taking preventive as well as corrective actions. Incidents of Kennametal Inc. have been studied to take proactive actions to prevent potential hazards within the KIL facility. vii. OHS inspections are conducted daily. viii. Procedure is in place for non-routine activities. Work Permits are issued for these activities, and the procedure is defined for approval of same. ix. KIL ensures all chemicals are provided with a material safety data sheet (SDS) for awareness of all staff. x. Safety Kaizen is highly encouraged for process modification and upgradation. xi. KIL encourages all staff to report near-miss incidents (IFE – injury free events) along with first- aid cases, recordable injuries, and fatalities. xii. KIL includes a clause on safety for contract workmen in the purchase order which will ensure as a guiding mechanism for the contractors xiii. The Occupational Health Centers (OHC) are equipped with dedicated doctors and staff nurses, and first aid facilities are available for both employees and workers. First aid training is regularly conducted for employees and workers by certified agencies.</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13. Number of Complaints on the following made by employees and workers: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1272"/>
        <w:gridCol w:w="1273"/>
        <w:gridCol w:w="2122"/>
        <w:gridCol w:w="1274"/>
        <w:gridCol w:w="1273"/>
        <w:gridCol w:w="2121"/>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27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Filed during the year FY (2025-26)</w:t>
            </w:r>
          </w:p>
        </w:tc>
        <w:tc>
          <w:tcPr>
            <w:tcW w:w="127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the end of year FY (2025-26)</w:t>
            </w:r>
          </w:p>
        </w:tc>
        <w:tc>
          <w:tcPr>
            <w:tcW w:w="212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Remarks FY (2025-26)</w:t>
            </w:r>
          </w:p>
        </w:tc>
        <w:tc>
          <w:tcPr>
            <w:tcW w:w="127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Filed during the year FY (2024-25)</w:t>
            </w:r>
          </w:p>
        </w:tc>
        <w:tc>
          <w:tcPr>
            <w:tcW w:w="127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the end of year FY (2024-25)</w:t>
            </w:r>
          </w:p>
        </w:tc>
        <w:tc>
          <w:tcPr>
            <w:tcW w:w="2121"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Remarks FY (2024-25)</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Working Conditions</w:t>
            </w:r>
          </w:p>
        </w:tc>
        <w:tc>
          <w:tcPr>
            <w:tcW w:w="127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21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212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Health &amp; Safety</w:t>
            </w:r>
          </w:p>
        </w:tc>
        <w:tc>
          <w:tcPr>
            <w:tcW w:w="127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25</w:t>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21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40</w:t>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212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bl>
    <w:p>
      <w:pPr>
        <w:pStyle w:val="Normal"/>
        <w:spacing w:before="0" w:after="120"/>
        <w:rPr/>
      </w:pPr>
      <w:r>
        <w:rPr/>
      </w:r>
    </w:p>
    <w:p>
      <w:pPr>
        <w:pStyle w:val="Normal"/>
        <w:spacing w:lineRule="auto" w:line="264" w:before="80" w:after="120"/>
        <w:ind w:left="100" w:hanging="0"/>
        <w:rPr>
          <w:highlight w:val="none"/>
          <w:shd w:fill="FFFFFF" w:val="clear"/>
        </w:rPr>
      </w:pPr>
      <w:r>
        <w:rPr>
          <w:i/>
          <w:iCs/>
          <w:color w:val="666666"/>
          <w:sz w:val="18"/>
          <w:szCs w:val="18"/>
          <w:shd w:fill="FFFFFF" w:val="clear"/>
        </w:rPr>
        <w:t>Note: The data for FY2023-24 and FY2024-25 have been recalibrated to consider only complaints related to IFE - injury free event, FAC - First aid case, OSHA - Occupational safety and health administration</w:t>
      </w:r>
    </w:p>
    <w:p>
      <w:pPr>
        <w:pStyle w:val="Normal"/>
        <w:keepNext w:val="true"/>
        <w:keepLines/>
        <w:spacing w:lineRule="auto" w:line="276" w:before="160" w:after="80"/>
        <w:rPr/>
      </w:pPr>
      <w:r>
        <w:rPr>
          <w:b/>
          <w:bCs/>
        </w:rPr>
        <w:t>14. Assessments for the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484"/>
        <w:gridCol w:w="9051"/>
      </w:tblGrid>
      <w:tr>
        <w:trPr>
          <w:tblHeader w:val="true"/>
        </w:trPr>
        <w:tc>
          <w:tcPr>
            <w:tcW w:w="1484"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9051"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of your plants and offices that were assessed (by entity or statutory authorities or third parties)</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Health and safety practices</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Working Conditions</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bl>
    <w:p>
      <w:pPr>
        <w:pStyle w:val="Normal"/>
        <w:spacing w:before="0" w:after="120"/>
        <w:rPr>
          <w:highlight w:val="yellow"/>
        </w:rPr>
      </w:pPr>
      <w:r>
        <w:rPr>
          <w:highlight w:val="yellow"/>
        </w:rPr>
      </w:r>
    </w:p>
    <w:p>
      <w:pPr>
        <w:pStyle w:val="Normal"/>
        <w:spacing w:before="0" w:after="120"/>
        <w:rPr>
          <w:highlight w:val="yellow"/>
        </w:rPr>
      </w:pPr>
      <w:r>
        <w:rPr/>
        <w:t>* Sales Offices were not assessed in FY2025– 2026</w:t>
      </w:r>
    </w:p>
    <w:p>
      <w:pPr>
        <w:pStyle w:val="Normal"/>
        <w:keepNext w:val="true"/>
        <w:keepLines/>
        <w:spacing w:lineRule="auto" w:line="276" w:before="160" w:after="80"/>
        <w:rPr/>
      </w:pPr>
      <w:r>
        <w:rPr>
          <w:b/>
          <w:bCs/>
        </w:rPr>
        <w:t>15.  Provide details of any corrective action taken or underway to address safety-related incidents (if any) and on significant risks / concerns arising from assessments of health &amp; safety practices and working conditions.</w:t>
      </w:r>
    </w:p>
    <w:p>
      <w:pPr>
        <w:pStyle w:val="Normal"/>
        <w:keepLines/>
        <w:spacing w:lineRule="auto" w:line="276" w:before="0" w:after="140"/>
        <w:ind w:left="360" w:hanging="0"/>
        <w:rPr/>
      </w:pPr>
      <w:r>
        <w:rPr/>
        <w:t>The typical process followed by KIL to address safety-related incidents is described below. 1. An incident alert report is developed which details the hazard category, incident description, and root cause analysis (RCA) is done and CAPA (Corrective Action and Preventive Action) is implemented 2. Incident alert report is shared globally to communicate the incident with all internal stakeholders. 3. The completion of actions is tracked in the GENSUITE portal.</w:t>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4</w:t>
      </w:r>
    </w:p>
    <w:p>
      <w:pPr>
        <w:pStyle w:val="Normal"/>
        <w:keepNext w:val="true"/>
        <w:keepLines/>
        <w:pBdr>
          <w:bottom w:val="single" w:sz="4" w:space="4" w:color="E5E5E5"/>
        </w:pBdr>
        <w:spacing w:lineRule="auto" w:line="276" w:before="200" w:after="140"/>
        <w:rPr/>
      </w:pPr>
      <w:r>
        <w:rPr>
          <w:b/>
          <w:bCs/>
        </w:rPr>
        <w:t>Essential Indicators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Describe the processes for identifying key stakeholder groups of the entity.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Stakeholder engagement is essential in identifying sustainability risks, the mitigation of which is ingrained in the business growth strategy. KIL acknowledges the importance of stakeholder identification. It has identified relevant stakeholder groups based on their material influence on the business strategy. The results from a desk-based sector analysis also contributed to the finalization of its stakeholders, namely: customers, employees and workers, suppliers, contractors / sub-contractors, supply chain partners, channel partners / distributors, shareholders and investors, regulatory and government agencies, media, and implementation partners and communities by the India Leadership Council (ILC) of Kennametal. The engagement approach entails identifying and capturing stakeholders; assessing and evaluating their responses; prioritizing key material issues; and identifying sustainability indicators. KIL then incorporates the identified material topics into its business strategy.</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 List stakeholder groups identified as key for your entity and the frequency of engagement with each stakeholder group.</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189"/>
        <w:gridCol w:w="2188"/>
        <w:gridCol w:w="2190"/>
        <w:gridCol w:w="2189"/>
        <w:gridCol w:w="1780"/>
      </w:tblGrid>
      <w:tr>
        <w:trPr>
          <w:tblHeader w:val="true"/>
        </w:trPr>
        <w:tc>
          <w:tcPr>
            <w:tcW w:w="2189"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Stakeholder Group</w:t>
            </w:r>
          </w:p>
        </w:tc>
        <w:tc>
          <w:tcPr>
            <w:tcW w:w="218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Whether identified as Vulnerable &amp; Marginalized Group</w:t>
            </w:r>
          </w:p>
        </w:tc>
        <w:tc>
          <w:tcPr>
            <w:tcW w:w="219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Channels of communication</w:t>
            </w:r>
          </w:p>
        </w:tc>
        <w:tc>
          <w:tcPr>
            <w:tcW w:w="2189"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Frequency of engagement</w:t>
            </w:r>
          </w:p>
        </w:tc>
        <w:tc>
          <w:tcPr>
            <w:tcW w:w="1780"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Purpose and scope of engagement including key topics and concerns raised during such engagement</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Investors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Press releases and media interactions, emails, Annual General Meeting, stock exchange filings, analyst calls, updates on the Company's website</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Annually through Annual Report, quarterly through financial results, continuous engagement: investor / shareholder page on website, investor calls and stock exchange updates</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Economic &amp; industry outlook, strategic outlook, Company overview, business update and queries on published financials</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Shareholders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Press releases and media interactions, emails, Annual General Meeting, stock exchange filings, analyst calls, updates on the Company's website</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Annually through Annual Report, quarterly through financial results, continuous engagement: investor / shareholder page on website, investor calls and stock exchange updates</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Company's performance, dividend confirmation, financial performance, event-based compliance matters, strategic initiatives</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Customers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Customer meet, exhibitions, digital marketing (websites, social media, newsletters, emails), trainings, etc.</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Event-based, continuous engagement, periodic customer satisfaction survey</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Company overview, new product launches, product promotions, success stories, product displays, product trainings, ESG and other strategic initiatives, etc.</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Employees and Workers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Periodic newsletters, long service awards, notice on bulletin boards, Reward &amp; Recognition, monthly connect, townhalls, daily shopfloor meetings, emailers</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Quarterly, monthly, event-based, continuous engagement</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Company overview, strategic initiatives, awareness on programs / policies / processes/ ESG, key management decisions, updates on company performance and initiatives, training courses, etc.</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Regulatory and Government Agencies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Notices, circulars, etc.</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Event-based</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Regulatory / statutory compliance</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Implementation Partners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Emails, in-person and virtual interactions and on-ground CSR activities</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Event-based</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Implementation partners (NGOs) identify projects based on the needs of communities and in alignment with KIL's CSR strategy.</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Communities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Yes</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In-person interaction, employee volunteering activities, implementation partners, etc.</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Event-based</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CSR activities, ESG initiatives, company overview and relevant updates.</w:t>
            </w:r>
          </w:p>
        </w:tc>
      </w:tr>
      <w:tr>
        <w:trPr/>
        <w:tc>
          <w:tcPr>
            <w:tcW w:w="2189" w:type="dxa"/>
            <w:tcBorders>
              <w:top w:val="single" w:sz="6" w:space="0" w:color="000000"/>
              <w:bottom w:val="single" w:sz="6" w:space="0" w:color="000000"/>
              <w:right w:val="single" w:sz="6" w:space="0" w:color="000000"/>
            </w:tcBorders>
          </w:tcPr>
          <w:p>
            <w:pPr>
              <w:pStyle w:val="Normal"/>
              <w:widowControl w:val="false"/>
              <w:spacing w:lineRule="auto" w:line="264"/>
              <w:rPr/>
            </w:pPr>
            <w:r>
              <w:rPr/>
              <w:t>Supply chain partners</w:t>
            </w:r>
          </w:p>
        </w:tc>
        <w:tc>
          <w:tcPr>
            <w:tcW w:w="2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w:t>
            </w:r>
          </w:p>
        </w:tc>
        <w:tc>
          <w:tcPr>
            <w:tcW w:w="2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Supplier meets, trainings, emails / letters, etc.</w:t>
            </w:r>
          </w:p>
        </w:tc>
        <w:tc>
          <w:tcPr>
            <w:tcW w:w="21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Annually, event-based</w:t>
            </w:r>
          </w:p>
        </w:tc>
        <w:tc>
          <w:tcPr>
            <w:tcW w:w="1780" w:type="dxa"/>
            <w:tcBorders>
              <w:top w:val="single" w:sz="6" w:space="0" w:color="000000"/>
              <w:left w:val="single" w:sz="6" w:space="0" w:color="000000"/>
              <w:bottom w:val="single" w:sz="6" w:space="0" w:color="000000"/>
            </w:tcBorders>
          </w:tcPr>
          <w:p>
            <w:pPr>
              <w:pStyle w:val="Normal"/>
              <w:widowControl w:val="false"/>
              <w:spacing w:lineRule="auto" w:line="264"/>
              <w:rPr/>
            </w:pPr>
            <w:r>
              <w:rPr/>
              <w:t>Supplier code of conduct and other allied matters, company initiatives, ESG initiatives, etc.</w:t>
            </w:r>
          </w:p>
        </w:tc>
      </w:tr>
    </w:tbl>
    <w:p>
      <w:pPr>
        <w:pStyle w:val="Normal"/>
        <w:spacing w:before="0" w:after="120"/>
        <w:rPr>
          <w:highlight w:val="yellow"/>
        </w:rPr>
      </w:pPr>
      <w:r>
        <w:rPr>
          <w:highlight w:val="yellow"/>
        </w:rPr>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5</w:t>
      </w:r>
    </w:p>
    <w:p>
      <w:pPr>
        <w:pStyle w:val="Normal"/>
        <w:keepNext w:val="true"/>
        <w:keepLines/>
        <w:pBdr>
          <w:bottom w:val="single" w:sz="4" w:space="4" w:color="E5E5E5"/>
        </w:pBdr>
        <w:spacing w:lineRule="auto" w:line="276" w:before="200" w:after="140"/>
        <w:rPr/>
      </w:pPr>
      <w:r>
        <w:rPr>
          <w:b/>
          <w:bCs/>
        </w:rPr>
        <w:t>Essential Indicators</w:t>
      </w:r>
    </w:p>
    <w:p>
      <w:pPr>
        <w:pStyle w:val="ListParagraph"/>
        <w:keepNext w:val="true"/>
        <w:keepLines/>
        <w:numPr>
          <w:ilvl w:val="0"/>
          <w:numId w:val="1"/>
        </w:numPr>
        <w:spacing w:lineRule="auto" w:line="276" w:before="160" w:after="80"/>
        <w:rPr>
          <w:b/>
          <w:b/>
          <w:bCs/>
        </w:rPr>
      </w:pPr>
      <w:r>
        <w:rPr>
          <w:b/>
          <w:bCs/>
        </w:rPr>
        <w:t>Employees and workers who have been provided training on human rights issues and policy(ies) of the entity, in the following format:</w:t>
      </w:r>
    </w:p>
    <w:tbl>
      <w:tblPr>
        <w:tblW w:w="882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219"/>
        <w:gridCol w:w="893"/>
        <w:gridCol w:w="1924"/>
        <w:gridCol w:w="806"/>
        <w:gridCol w:w="867"/>
        <w:gridCol w:w="1232"/>
        <w:gridCol w:w="878"/>
      </w:tblGrid>
      <w:tr>
        <w:trPr>
          <w:trHeight w:val="1453" w:hRule="atLeast"/>
        </w:trPr>
        <w:tc>
          <w:tcPr>
            <w:tcW w:w="221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rPr>
                <w:b/>
                <w:b/>
                <w:bCs/>
                <w:sz w:val="22"/>
                <w:szCs w:val="22"/>
              </w:rPr>
            </w:pPr>
            <w:r>
              <w:rPr>
                <w:b/>
                <w:bCs/>
                <w:sz w:val="22"/>
                <w:szCs w:val="22"/>
              </w:rPr>
              <w:t>Category</w:t>
            </w:r>
          </w:p>
        </w:tc>
        <w:tc>
          <w:tcPr>
            <w:tcW w:w="3623" w:type="dxa"/>
            <w:gridSpan w:val="3"/>
            <w:tcBorders>
              <w:top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FY 2025-2026</w:t>
              <w:br/>
              <w:t>Current Financial Year</w:t>
            </w:r>
          </w:p>
        </w:tc>
        <w:tc>
          <w:tcPr>
            <w:tcW w:w="2977" w:type="dxa"/>
            <w:gridSpan w:val="3"/>
            <w:tcBorders>
              <w:top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FY 2024-2025</w:t>
              <w:br/>
              <w:t>Current Financial Year</w:t>
            </w:r>
          </w:p>
        </w:tc>
      </w:tr>
      <w:tr>
        <w:trPr>
          <w:trHeight w:val="174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b/>
                <w:b/>
                <w:bCs/>
                <w:sz w:val="22"/>
                <w:szCs w:val="22"/>
              </w:rPr>
            </w:pPr>
            <w:r>
              <w:rPr>
                <w:b/>
                <w:bCs/>
                <w:sz w:val="22"/>
                <w:szCs w:val="22"/>
              </w:rPr>
              <w:t> </w:t>
            </w:r>
          </w:p>
        </w:tc>
        <w:tc>
          <w:tcPr>
            <w:tcW w:w="893"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Total (A)</w:t>
            </w:r>
          </w:p>
        </w:tc>
        <w:tc>
          <w:tcPr>
            <w:tcW w:w="1924"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No. employee’s workers covered (B)</w:t>
            </w:r>
          </w:p>
        </w:tc>
        <w:tc>
          <w:tcPr>
            <w:tcW w:w="806"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(B/A)</w:t>
            </w:r>
          </w:p>
        </w:tc>
        <w:tc>
          <w:tcPr>
            <w:tcW w:w="867"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Total (C)</w:t>
            </w:r>
          </w:p>
        </w:tc>
        <w:tc>
          <w:tcPr>
            <w:tcW w:w="1232"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No. employee’s workers covered (D)</w:t>
            </w:r>
          </w:p>
        </w:tc>
        <w:tc>
          <w:tcPr>
            <w:tcW w:w="878" w:type="dxa"/>
            <w:tcBorders>
              <w:bottom w:val="single" w:sz="4" w:space="0" w:color="000000"/>
              <w:right w:val="single" w:sz="4" w:space="0" w:color="000000"/>
            </w:tcBorders>
            <w:vAlign w:val="bottom"/>
          </w:tcPr>
          <w:p>
            <w:pPr>
              <w:pStyle w:val="Normal"/>
              <w:widowControl w:val="false"/>
              <w:rPr>
                <w:b/>
                <w:b/>
                <w:bCs/>
                <w:sz w:val="22"/>
                <w:szCs w:val="22"/>
              </w:rPr>
            </w:pPr>
            <w:r>
              <w:rPr>
                <w:b/>
                <w:bCs/>
                <w:sz w:val="22"/>
                <w:szCs w:val="22"/>
              </w:rPr>
              <w:t>% (D/C)</w:t>
            </w:r>
          </w:p>
        </w:tc>
      </w:tr>
      <w:tr>
        <w:trPr>
          <w:trHeight w:val="290" w:hRule="atLeast"/>
        </w:trPr>
        <w:tc>
          <w:tcPr>
            <w:tcW w:w="8819" w:type="dxa"/>
            <w:gridSpan w:val="7"/>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Employees</w:t>
            </w:r>
          </w:p>
        </w:tc>
      </w:tr>
      <w:tr>
        <w:trPr>
          <w:trHeight w:val="29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Permanent</w:t>
            </w:r>
          </w:p>
        </w:tc>
        <w:tc>
          <w:tcPr>
            <w:tcW w:w="8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463</w:t>
            </w:r>
          </w:p>
        </w:tc>
        <w:tc>
          <w:tcPr>
            <w:tcW w:w="1924"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456</w:t>
            </w:r>
          </w:p>
        </w:tc>
        <w:tc>
          <w:tcPr>
            <w:tcW w:w="806"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98.49</w:t>
            </w:r>
          </w:p>
        </w:tc>
        <w:tc>
          <w:tcPr>
            <w:tcW w:w="86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451</w:t>
            </w:r>
          </w:p>
        </w:tc>
        <w:tc>
          <w:tcPr>
            <w:tcW w:w="123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376</w:t>
            </w:r>
          </w:p>
        </w:tc>
        <w:tc>
          <w:tcPr>
            <w:tcW w:w="878"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83.37%</w:t>
            </w:r>
          </w:p>
        </w:tc>
      </w:tr>
      <w:tr>
        <w:trPr>
          <w:trHeight w:val="29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Other than permanent</w:t>
            </w:r>
          </w:p>
        </w:tc>
        <w:tc>
          <w:tcPr>
            <w:tcW w:w="893" w:type="dxa"/>
            <w:tcBorders>
              <w:bottom w:val="single" w:sz="4" w:space="0" w:color="000000"/>
              <w:right w:val="single" w:sz="4" w:space="0" w:color="000000"/>
            </w:tcBorders>
            <w:vAlign w:val="bottom"/>
          </w:tcPr>
          <w:p>
            <w:pPr>
              <w:pStyle w:val="Normal"/>
              <w:widowControl w:val="false"/>
              <w:jc w:val="right"/>
              <w:rPr>
                <w:sz w:val="22"/>
                <w:szCs w:val="22"/>
                <w:highlight w:val="yellow"/>
              </w:rPr>
            </w:pPr>
            <w:r>
              <w:rPr>
                <w:sz w:val="22"/>
                <w:szCs w:val="22"/>
              </w:rPr>
              <w:t>50</w:t>
            </w:r>
          </w:p>
        </w:tc>
        <w:tc>
          <w:tcPr>
            <w:tcW w:w="1924"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w:t>
            </w:r>
          </w:p>
        </w:tc>
        <w:tc>
          <w:tcPr>
            <w:tcW w:w="806"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100.00</w:t>
            </w:r>
          </w:p>
        </w:tc>
        <w:tc>
          <w:tcPr>
            <w:tcW w:w="86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121</w:t>
            </w:r>
          </w:p>
        </w:tc>
        <w:tc>
          <w:tcPr>
            <w:tcW w:w="123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106</w:t>
            </w:r>
          </w:p>
        </w:tc>
        <w:tc>
          <w:tcPr>
            <w:tcW w:w="878"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87.60%</w:t>
            </w:r>
          </w:p>
        </w:tc>
      </w:tr>
      <w:tr>
        <w:trPr>
          <w:trHeight w:val="29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Total Employees</w:t>
            </w:r>
          </w:p>
        </w:tc>
        <w:tc>
          <w:tcPr>
            <w:tcW w:w="8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513</w:t>
            </w:r>
          </w:p>
        </w:tc>
        <w:tc>
          <w:tcPr>
            <w:tcW w:w="1924"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506</w:t>
            </w:r>
          </w:p>
        </w:tc>
        <w:tc>
          <w:tcPr>
            <w:tcW w:w="806" w:type="dxa"/>
            <w:tcBorders>
              <w:bottom w:val="single" w:sz="4" w:space="0" w:color="000000"/>
              <w:right w:val="single" w:sz="4" w:space="0" w:color="000000"/>
            </w:tcBorders>
            <w:vAlign w:val="bottom"/>
          </w:tcPr>
          <w:p>
            <w:pPr>
              <w:pStyle w:val="Normal"/>
              <w:widowControl w:val="false"/>
              <w:jc w:val="right"/>
              <w:rPr>
                <w:sz w:val="22"/>
                <w:szCs w:val="22"/>
                <w:highlight w:val="yellow"/>
              </w:rPr>
            </w:pPr>
            <w:r>
              <w:rPr>
                <w:sz w:val="22"/>
                <w:szCs w:val="22"/>
              </w:rPr>
              <w:t>98.64</w:t>
            </w:r>
          </w:p>
        </w:tc>
        <w:tc>
          <w:tcPr>
            <w:tcW w:w="86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572</w:t>
            </w:r>
          </w:p>
        </w:tc>
        <w:tc>
          <w:tcPr>
            <w:tcW w:w="123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482</w:t>
            </w:r>
          </w:p>
        </w:tc>
        <w:tc>
          <w:tcPr>
            <w:tcW w:w="878"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84.27%</w:t>
            </w:r>
          </w:p>
        </w:tc>
      </w:tr>
      <w:tr>
        <w:trPr>
          <w:trHeight w:val="290" w:hRule="atLeast"/>
        </w:trPr>
        <w:tc>
          <w:tcPr>
            <w:tcW w:w="8819" w:type="dxa"/>
            <w:gridSpan w:val="7"/>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b/>
                <w:b/>
                <w:bCs/>
                <w:sz w:val="22"/>
                <w:szCs w:val="22"/>
              </w:rPr>
            </w:pPr>
            <w:r>
              <w:rPr>
                <w:b/>
                <w:bCs/>
                <w:sz w:val="22"/>
                <w:szCs w:val="22"/>
              </w:rPr>
              <w:t>Workers</w:t>
            </w:r>
          </w:p>
        </w:tc>
      </w:tr>
      <w:tr>
        <w:trPr>
          <w:trHeight w:val="29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Permanent</w:t>
            </w:r>
          </w:p>
        </w:tc>
        <w:tc>
          <w:tcPr>
            <w:tcW w:w="8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298</w:t>
            </w:r>
          </w:p>
        </w:tc>
        <w:tc>
          <w:tcPr>
            <w:tcW w:w="1924"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297</w:t>
            </w:r>
          </w:p>
        </w:tc>
        <w:tc>
          <w:tcPr>
            <w:tcW w:w="806"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99.66</w:t>
            </w:r>
          </w:p>
        </w:tc>
        <w:tc>
          <w:tcPr>
            <w:tcW w:w="86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321</w:t>
            </w:r>
          </w:p>
        </w:tc>
        <w:tc>
          <w:tcPr>
            <w:tcW w:w="123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274</w:t>
            </w:r>
          </w:p>
        </w:tc>
        <w:tc>
          <w:tcPr>
            <w:tcW w:w="878"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85.36%</w:t>
            </w:r>
          </w:p>
        </w:tc>
      </w:tr>
      <w:tr>
        <w:trPr>
          <w:trHeight w:val="29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Other than permanent</w:t>
            </w:r>
          </w:p>
        </w:tc>
        <w:tc>
          <w:tcPr>
            <w:tcW w:w="8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211</w:t>
            </w:r>
          </w:p>
        </w:tc>
        <w:tc>
          <w:tcPr>
            <w:tcW w:w="1924"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208</w:t>
            </w:r>
          </w:p>
        </w:tc>
        <w:tc>
          <w:tcPr>
            <w:tcW w:w="806"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98.58</w:t>
            </w:r>
          </w:p>
        </w:tc>
        <w:tc>
          <w:tcPr>
            <w:tcW w:w="86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104</w:t>
            </w:r>
          </w:p>
        </w:tc>
        <w:tc>
          <w:tcPr>
            <w:tcW w:w="123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89</w:t>
            </w:r>
          </w:p>
        </w:tc>
        <w:tc>
          <w:tcPr>
            <w:tcW w:w="878"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85.58%</w:t>
            </w:r>
          </w:p>
        </w:tc>
      </w:tr>
      <w:tr>
        <w:trPr>
          <w:trHeight w:val="290" w:hRule="atLeast"/>
        </w:trPr>
        <w:tc>
          <w:tcPr>
            <w:tcW w:w="2219" w:type="dxa"/>
            <w:tcBorders>
              <w:left w:val="single" w:sz="4" w:space="0" w:color="000000"/>
              <w:bottom w:val="single" w:sz="4" w:space="0" w:color="000000"/>
              <w:right w:val="single" w:sz="4" w:space="0" w:color="000000"/>
            </w:tcBorders>
            <w:vAlign w:val="bottom"/>
          </w:tcPr>
          <w:p>
            <w:pPr>
              <w:pStyle w:val="Normal"/>
              <w:widowControl w:val="false"/>
              <w:rPr>
                <w:sz w:val="22"/>
                <w:szCs w:val="22"/>
              </w:rPr>
            </w:pPr>
            <w:r>
              <w:rPr>
                <w:sz w:val="22"/>
                <w:szCs w:val="22"/>
              </w:rPr>
              <w:t>Total Workers</w:t>
            </w:r>
          </w:p>
        </w:tc>
        <w:tc>
          <w:tcPr>
            <w:tcW w:w="893"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509</w:t>
            </w:r>
          </w:p>
        </w:tc>
        <w:tc>
          <w:tcPr>
            <w:tcW w:w="1924"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505</w:t>
            </w:r>
          </w:p>
        </w:tc>
        <w:tc>
          <w:tcPr>
            <w:tcW w:w="806"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99.21</w:t>
            </w:r>
          </w:p>
        </w:tc>
        <w:tc>
          <w:tcPr>
            <w:tcW w:w="867"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425</w:t>
            </w:r>
          </w:p>
        </w:tc>
        <w:tc>
          <w:tcPr>
            <w:tcW w:w="1232"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363</w:t>
            </w:r>
          </w:p>
        </w:tc>
        <w:tc>
          <w:tcPr>
            <w:tcW w:w="878" w:type="dxa"/>
            <w:tcBorders>
              <w:bottom w:val="single" w:sz="4" w:space="0" w:color="000000"/>
              <w:right w:val="single" w:sz="4" w:space="0" w:color="000000"/>
            </w:tcBorders>
            <w:vAlign w:val="bottom"/>
          </w:tcPr>
          <w:p>
            <w:pPr>
              <w:pStyle w:val="Normal"/>
              <w:widowControl w:val="false"/>
              <w:jc w:val="right"/>
              <w:rPr>
                <w:sz w:val="22"/>
                <w:szCs w:val="22"/>
              </w:rPr>
            </w:pPr>
            <w:r>
              <w:rPr>
                <w:sz w:val="22"/>
                <w:szCs w:val="22"/>
              </w:rPr>
              <w:t>85.41%</w:t>
            </w:r>
          </w:p>
        </w:tc>
      </w:tr>
    </w:tbl>
    <w:p>
      <w:pPr>
        <w:pStyle w:val="ListParagraph"/>
        <w:keepNext w:val="true"/>
        <w:keepLines/>
        <w:spacing w:lineRule="auto" w:line="276" w:before="160" w:after="80"/>
        <w:ind w:left="720" w:hanging="0"/>
        <w:rPr>
          <w:highlight w:val="yellow"/>
        </w:rPr>
      </w:pPr>
      <w:r>
        <w:rPr>
          <w:highlight w:val="yellow"/>
        </w:rPr>
      </w:r>
    </w:p>
    <w:p>
      <w:pPr>
        <w:pStyle w:val="Normal"/>
        <w:spacing w:before="0" w:after="120"/>
        <w:rPr>
          <w:highlight w:val="yellow"/>
        </w:rPr>
      </w:pPr>
      <w:r>
        <w:rPr>
          <w:highlight w:val="yellow"/>
        </w:rPr>
      </w:r>
    </w:p>
    <w:p>
      <w:pPr>
        <w:pStyle w:val="Normal"/>
        <w:keepNext w:val="true"/>
        <w:keepLines/>
        <w:spacing w:lineRule="auto" w:line="276" w:before="160" w:after="80"/>
        <w:rPr>
          <w:b/>
          <w:b/>
          <w:bCs/>
        </w:rPr>
      </w:pPr>
      <w:r>
        <w:rPr>
          <w:b/>
          <w:bCs/>
        </w:rPr>
        <w:t>2. Details of minimum wages paid to employees and workers, in the following format:</w:t>
      </w:r>
    </w:p>
    <w:tbl>
      <w:tblPr>
        <w:tblW w:w="5000" w:type="pct"/>
        <w:jc w:val="left"/>
        <w:tblInd w:w="-147" w:type="dxa"/>
        <w:tblLayout w:type="fixed"/>
        <w:tblCellMar>
          <w:top w:w="0" w:type="dxa"/>
          <w:left w:w="5" w:type="dxa"/>
          <w:bottom w:w="0" w:type="dxa"/>
          <w:right w:w="5" w:type="dxa"/>
        </w:tblCellMar>
        <w:tblLook w:val="0000" w:noHBand="0" w:noVBand="0" w:firstColumn="0" w:lastRow="0" w:lastColumn="0" w:firstRow="0"/>
      </w:tblPr>
      <w:tblGrid>
        <w:gridCol w:w="1610"/>
        <w:gridCol w:w="1069"/>
        <w:gridCol w:w="869"/>
        <w:gridCol w:w="742"/>
        <w:gridCol w:w="1081"/>
        <w:gridCol w:w="771"/>
        <w:gridCol w:w="1056"/>
        <w:gridCol w:w="687"/>
        <w:gridCol w:w="687"/>
        <w:gridCol w:w="781"/>
        <w:gridCol w:w="1181"/>
      </w:tblGrid>
      <w:tr>
        <w:trPr>
          <w:trHeight w:val="594" w:hRule="atLeast"/>
        </w:trPr>
        <w:tc>
          <w:tcPr>
            <w:tcW w:w="1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spacing w:before="27" w:after="0"/>
              <w:rPr>
                <w:b/>
                <w:b/>
                <w:sz w:val="24"/>
                <w:szCs w:val="24"/>
                <w:lang w:val="en-US" w:eastAsia="en-US"/>
              </w:rPr>
            </w:pPr>
            <w:r>
              <w:rPr>
                <w:b/>
                <w:sz w:val="24"/>
                <w:szCs w:val="24"/>
                <w:lang w:val="en-US" w:eastAsia="en-US"/>
              </w:rPr>
            </w:r>
          </w:p>
          <w:p>
            <w:pPr>
              <w:pStyle w:val="Normal"/>
              <w:widowControl w:val="false"/>
              <w:suppressAutoHyphens w:val="true"/>
              <w:spacing w:before="1" w:after="0"/>
              <w:ind w:left="216" w:hanging="0"/>
              <w:rPr>
                <w:b/>
                <w:b/>
                <w:sz w:val="24"/>
                <w:szCs w:val="24"/>
                <w:lang w:val="en-US" w:eastAsia="en-US"/>
              </w:rPr>
            </w:pPr>
            <w:r>
              <w:rPr>
                <w:b/>
                <w:sz w:val="24"/>
                <w:szCs w:val="24"/>
                <w:lang w:val="en-US" w:eastAsia="en-US"/>
              </w:rPr>
              <w:t>Category</w:t>
            </w:r>
          </w:p>
        </w:tc>
        <w:tc>
          <w:tcPr>
            <w:tcW w:w="453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68" w:hanging="0"/>
              <w:jc w:val="center"/>
              <w:rPr>
                <w:b/>
                <w:b/>
                <w:sz w:val="24"/>
                <w:szCs w:val="24"/>
                <w:lang w:val="en-US" w:eastAsia="en-US"/>
              </w:rPr>
            </w:pPr>
            <w:r>
              <w:rPr>
                <w:b/>
                <w:sz w:val="24"/>
                <w:szCs w:val="24"/>
                <w:lang w:val="en-US" w:eastAsia="en-US"/>
              </w:rPr>
              <w:t>FY 2025-26</w:t>
            </w:r>
          </w:p>
          <w:p>
            <w:pPr>
              <w:pStyle w:val="Normal"/>
              <w:widowControl w:val="false"/>
              <w:suppressAutoHyphens w:val="true"/>
              <w:spacing w:lineRule="auto" w:line="252" w:before="45" w:after="0"/>
              <w:ind w:left="68" w:right="57" w:hanging="0"/>
              <w:jc w:val="center"/>
              <w:rPr>
                <w:b/>
                <w:b/>
                <w:sz w:val="24"/>
                <w:szCs w:val="24"/>
                <w:lang w:val="en-US" w:eastAsia="en-US"/>
              </w:rPr>
            </w:pPr>
            <w:r>
              <w:rPr>
                <w:b/>
                <w:sz w:val="24"/>
                <w:szCs w:val="24"/>
                <w:lang w:val="en-US" w:eastAsia="en-US"/>
              </w:rPr>
              <w:t>(Current Financial Year)</w:t>
            </w:r>
          </w:p>
        </w:tc>
        <w:tc>
          <w:tcPr>
            <w:tcW w:w="439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68" w:hanging="0"/>
              <w:jc w:val="center"/>
              <w:rPr>
                <w:b/>
                <w:b/>
                <w:sz w:val="24"/>
                <w:szCs w:val="24"/>
                <w:lang w:val="en-US" w:eastAsia="en-US"/>
              </w:rPr>
            </w:pPr>
            <w:r>
              <w:rPr>
                <w:b/>
                <w:sz w:val="24"/>
                <w:szCs w:val="24"/>
                <w:lang w:val="en-US" w:eastAsia="en-US"/>
              </w:rPr>
              <w:t>FY 2024-25</w:t>
            </w:r>
          </w:p>
          <w:p>
            <w:pPr>
              <w:pStyle w:val="Normal"/>
              <w:widowControl w:val="false"/>
              <w:suppressAutoHyphens w:val="true"/>
              <w:spacing w:lineRule="auto" w:line="252" w:before="45" w:after="0"/>
              <w:ind w:left="68" w:right="66" w:hanging="0"/>
              <w:jc w:val="center"/>
              <w:rPr>
                <w:b/>
                <w:b/>
                <w:sz w:val="24"/>
                <w:szCs w:val="24"/>
                <w:lang w:val="en-US" w:eastAsia="en-US"/>
              </w:rPr>
            </w:pPr>
            <w:r>
              <w:rPr>
                <w:b/>
                <w:sz w:val="24"/>
                <w:szCs w:val="24"/>
                <w:lang w:val="en-US" w:eastAsia="en-US"/>
              </w:rPr>
              <w:t>(Previous Financial year)</w:t>
            </w:r>
          </w:p>
        </w:tc>
      </w:tr>
      <w:tr>
        <w:trPr>
          <w:trHeight w:val="830" w:hRule="atLeast"/>
        </w:trPr>
        <w:tc>
          <w:tcPr>
            <w:tcW w:w="1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b/>
                <w:b/>
                <w:sz w:val="24"/>
                <w:szCs w:val="24"/>
                <w:lang w:val="en-US" w:eastAsia="en-US"/>
              </w:rPr>
            </w:pPr>
            <w:r>
              <w:rPr>
                <w:b/>
                <w:sz w:val="24"/>
                <w:szCs w:val="24"/>
                <w:lang w:val="en-US" w:eastAsia="en-US"/>
              </w:rPr>
            </w:r>
          </w:p>
        </w:tc>
        <w:tc>
          <w:tcPr>
            <w:tcW w:w="106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spacing w:before="145" w:after="0"/>
              <w:rPr>
                <w:b/>
                <w:b/>
                <w:sz w:val="24"/>
                <w:szCs w:val="24"/>
                <w:lang w:val="en-US" w:eastAsia="en-US"/>
              </w:rPr>
            </w:pPr>
            <w:r>
              <w:rPr>
                <w:b/>
                <w:sz w:val="24"/>
                <w:szCs w:val="24"/>
                <w:lang w:val="en-US" w:eastAsia="en-US"/>
              </w:rPr>
            </w:r>
          </w:p>
          <w:p>
            <w:pPr>
              <w:pStyle w:val="Normal"/>
              <w:widowControl w:val="false"/>
              <w:suppressAutoHyphens w:val="true"/>
              <w:spacing w:lineRule="auto" w:line="235"/>
              <w:ind w:right="506" w:hanging="0"/>
              <w:rPr>
                <w:b/>
                <w:b/>
                <w:sz w:val="24"/>
                <w:szCs w:val="24"/>
                <w:lang w:val="en-US" w:eastAsia="en-US"/>
              </w:rPr>
            </w:pPr>
            <w:r>
              <w:rPr>
                <w:b/>
                <w:sz w:val="24"/>
                <w:szCs w:val="24"/>
                <w:lang w:val="en-US" w:eastAsia="en-US"/>
              </w:rPr>
              <w:t>Total (A)</w:t>
            </w:r>
          </w:p>
        </w:tc>
        <w:tc>
          <w:tcPr>
            <w:tcW w:w="16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35" w:after="0"/>
              <w:ind w:left="105" w:right="243" w:hanging="0"/>
              <w:rPr>
                <w:b/>
                <w:b/>
                <w:sz w:val="24"/>
                <w:szCs w:val="24"/>
                <w:lang w:val="en-US" w:eastAsia="en-US"/>
              </w:rPr>
            </w:pPr>
            <w:r>
              <w:rPr>
                <w:b/>
                <w:sz w:val="24"/>
                <w:szCs w:val="24"/>
                <w:lang w:val="en-US" w:eastAsia="en-US"/>
              </w:rPr>
              <w:t>Equal to Minimum Wage</w:t>
            </w:r>
          </w:p>
        </w:tc>
        <w:tc>
          <w:tcPr>
            <w:tcW w:w="1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109" w:hanging="0"/>
              <w:rPr>
                <w:b/>
                <w:b/>
                <w:sz w:val="24"/>
                <w:szCs w:val="24"/>
                <w:lang w:val="en-US" w:eastAsia="en-US"/>
              </w:rPr>
            </w:pPr>
            <w:r>
              <w:rPr>
                <w:b/>
                <w:sz w:val="24"/>
                <w:szCs w:val="24"/>
                <w:lang w:val="en-US" w:eastAsia="en-US"/>
              </w:rPr>
              <w:t>More than</w:t>
            </w:r>
          </w:p>
          <w:p>
            <w:pPr>
              <w:pStyle w:val="Normal"/>
              <w:widowControl w:val="false"/>
              <w:suppressAutoHyphens w:val="true"/>
              <w:spacing w:lineRule="auto" w:line="271"/>
              <w:ind w:left="109" w:right="696" w:hanging="0"/>
              <w:rPr>
                <w:b/>
                <w:b/>
                <w:sz w:val="24"/>
                <w:szCs w:val="24"/>
                <w:lang w:val="en-US" w:eastAsia="en-US"/>
              </w:rPr>
            </w:pPr>
            <w:r>
              <w:rPr>
                <w:b/>
                <w:sz w:val="24"/>
                <w:szCs w:val="24"/>
                <w:lang w:val="en-US" w:eastAsia="en-US"/>
              </w:rPr>
              <w:t>Minimum Wage</w:t>
            </w:r>
          </w:p>
        </w:tc>
        <w:tc>
          <w:tcPr>
            <w:tcW w:w="10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spacing w:before="145" w:after="0"/>
              <w:rPr>
                <w:b/>
                <w:b/>
                <w:sz w:val="24"/>
                <w:szCs w:val="24"/>
                <w:lang w:val="en-US" w:eastAsia="en-US"/>
              </w:rPr>
            </w:pPr>
            <w:r>
              <w:rPr>
                <w:b/>
                <w:sz w:val="24"/>
                <w:szCs w:val="24"/>
                <w:lang w:val="en-US" w:eastAsia="en-US"/>
              </w:rPr>
            </w:r>
          </w:p>
          <w:p>
            <w:pPr>
              <w:pStyle w:val="Normal"/>
              <w:widowControl w:val="false"/>
              <w:suppressAutoHyphens w:val="true"/>
              <w:spacing w:lineRule="auto" w:line="235"/>
              <w:ind w:right="493" w:hanging="0"/>
              <w:rPr>
                <w:b/>
                <w:b/>
                <w:sz w:val="24"/>
                <w:szCs w:val="24"/>
                <w:lang w:val="en-US" w:eastAsia="en-US"/>
              </w:rPr>
            </w:pPr>
            <w:r>
              <w:rPr>
                <w:b/>
                <w:sz w:val="24"/>
                <w:szCs w:val="24"/>
                <w:lang w:val="en-US" w:eastAsia="en-US"/>
              </w:rPr>
              <w:t>Total (D)</w:t>
            </w:r>
          </w:p>
        </w:tc>
        <w:tc>
          <w:tcPr>
            <w:tcW w:w="13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104" w:hanging="0"/>
              <w:rPr>
                <w:b/>
                <w:b/>
                <w:sz w:val="24"/>
                <w:szCs w:val="24"/>
                <w:lang w:val="en-US" w:eastAsia="en-US"/>
              </w:rPr>
            </w:pPr>
            <w:r>
              <w:rPr>
                <w:b/>
                <w:sz w:val="24"/>
                <w:szCs w:val="24"/>
                <w:lang w:val="en-US" w:eastAsia="en-US"/>
              </w:rPr>
              <w:t>Equal to</w:t>
            </w:r>
          </w:p>
          <w:p>
            <w:pPr>
              <w:pStyle w:val="Normal"/>
              <w:widowControl w:val="false"/>
              <w:suppressAutoHyphens w:val="true"/>
              <w:spacing w:lineRule="auto" w:line="271"/>
              <w:ind w:left="104" w:right="141" w:hanging="0"/>
              <w:rPr>
                <w:b/>
                <w:b/>
                <w:sz w:val="24"/>
                <w:szCs w:val="24"/>
                <w:lang w:val="en-US" w:eastAsia="en-US"/>
              </w:rPr>
            </w:pPr>
            <w:r>
              <w:rPr>
                <w:b/>
                <w:sz w:val="24"/>
                <w:szCs w:val="24"/>
                <w:lang w:val="en-US" w:eastAsia="en-US"/>
              </w:rPr>
              <w:t>Minimum Wage</w:t>
            </w:r>
          </w:p>
        </w:tc>
        <w:tc>
          <w:tcPr>
            <w:tcW w:w="196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107" w:hanging="0"/>
              <w:rPr>
                <w:b/>
                <w:b/>
                <w:sz w:val="24"/>
                <w:szCs w:val="24"/>
                <w:lang w:val="en-US" w:eastAsia="en-US"/>
              </w:rPr>
            </w:pPr>
            <w:r>
              <w:rPr>
                <w:b/>
                <w:sz w:val="24"/>
                <w:szCs w:val="24"/>
                <w:lang w:val="en-US" w:eastAsia="en-US"/>
              </w:rPr>
              <w:t>More than</w:t>
            </w:r>
          </w:p>
          <w:p>
            <w:pPr>
              <w:pStyle w:val="Normal"/>
              <w:widowControl w:val="false"/>
              <w:suppressAutoHyphens w:val="true"/>
              <w:spacing w:lineRule="auto" w:line="271"/>
              <w:ind w:left="107" w:right="542" w:hanging="0"/>
              <w:rPr>
                <w:b/>
                <w:b/>
                <w:sz w:val="24"/>
                <w:szCs w:val="24"/>
                <w:lang w:val="en-US" w:eastAsia="en-US"/>
              </w:rPr>
            </w:pPr>
            <w:r>
              <w:rPr>
                <w:b/>
                <w:sz w:val="24"/>
                <w:szCs w:val="24"/>
                <w:lang w:val="en-US" w:eastAsia="en-US"/>
              </w:rPr>
              <w:t>Minimum Wage</w:t>
            </w:r>
          </w:p>
        </w:tc>
      </w:tr>
      <w:tr>
        <w:trPr>
          <w:trHeight w:val="1655" w:hRule="atLeast"/>
        </w:trPr>
        <w:tc>
          <w:tcPr>
            <w:tcW w:w="1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b/>
                <w:b/>
                <w:sz w:val="24"/>
                <w:szCs w:val="24"/>
                <w:lang w:val="en-US" w:eastAsia="en-US"/>
              </w:rPr>
            </w:pPr>
            <w:r>
              <w:rPr>
                <w:b/>
                <w:sz w:val="24"/>
                <w:szCs w:val="24"/>
                <w:lang w:val="en-US" w:eastAsia="en-US"/>
              </w:rPr>
            </w:r>
          </w:p>
        </w:tc>
        <w:tc>
          <w:tcPr>
            <w:tcW w:w="106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b/>
                <w:b/>
                <w:sz w:val="24"/>
                <w:szCs w:val="24"/>
                <w:lang w:val="en-US" w:eastAsia="en-US"/>
              </w:rPr>
            </w:pPr>
            <w:r>
              <w:rPr>
                <w:b/>
                <w:sz w:val="24"/>
                <w:szCs w:val="24"/>
                <w:lang w:val="en-US" w:eastAsia="en-US"/>
              </w:rPr>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274" w:after="0"/>
              <w:rPr>
                <w:b/>
                <w:b/>
                <w:sz w:val="24"/>
                <w:szCs w:val="24"/>
                <w:lang w:val="en-US" w:eastAsia="en-US"/>
              </w:rPr>
            </w:pPr>
            <w:r>
              <w:rPr>
                <w:b/>
                <w:sz w:val="24"/>
                <w:szCs w:val="24"/>
                <w:lang w:val="en-US" w:eastAsia="en-US"/>
              </w:rPr>
            </w:r>
          </w:p>
          <w:p>
            <w:pPr>
              <w:pStyle w:val="Normal"/>
              <w:widowControl w:val="false"/>
              <w:suppressAutoHyphens w:val="true"/>
              <w:spacing w:lineRule="auto" w:line="235" w:before="1" w:after="0"/>
              <w:ind w:right="247" w:hanging="0"/>
              <w:rPr>
                <w:b/>
                <w:b/>
                <w:sz w:val="24"/>
                <w:szCs w:val="24"/>
                <w:lang w:val="en-US" w:eastAsia="en-US"/>
              </w:rPr>
            </w:pPr>
            <w:r>
              <w:rPr>
                <w:b/>
                <w:sz w:val="24"/>
                <w:szCs w:val="24"/>
                <w:lang w:val="en-US" w:eastAsia="en-US"/>
              </w:rPr>
              <w:t>No. (B)</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274" w:after="0"/>
              <w:rPr>
                <w:b/>
                <w:b/>
                <w:sz w:val="24"/>
                <w:szCs w:val="24"/>
                <w:lang w:val="en-US" w:eastAsia="en-US"/>
              </w:rPr>
            </w:pPr>
            <w:r>
              <w:rPr>
                <w:b/>
                <w:sz w:val="24"/>
                <w:szCs w:val="24"/>
                <w:lang w:val="en-US" w:eastAsia="en-US"/>
              </w:rPr>
            </w:r>
          </w:p>
          <w:p>
            <w:pPr>
              <w:pStyle w:val="Normal"/>
              <w:widowControl w:val="false"/>
              <w:suppressAutoHyphens w:val="true"/>
              <w:spacing w:lineRule="auto" w:line="235" w:before="1" w:after="0"/>
              <w:ind w:right="168" w:hanging="0"/>
              <w:rPr>
                <w:b/>
                <w:b/>
                <w:sz w:val="24"/>
                <w:szCs w:val="24"/>
                <w:lang w:val="en-US" w:eastAsia="en-US"/>
              </w:rPr>
            </w:pPr>
            <w:r>
              <w:rPr>
                <w:b/>
                <w:sz w:val="24"/>
                <w:szCs w:val="24"/>
                <w:lang w:val="en-US" w:eastAsia="en-US"/>
              </w:rPr>
              <w:t>% (B/A)</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274" w:after="0"/>
              <w:rPr>
                <w:b/>
                <w:b/>
                <w:sz w:val="24"/>
                <w:szCs w:val="24"/>
                <w:lang w:val="en-US" w:eastAsia="en-US"/>
              </w:rPr>
            </w:pPr>
            <w:r>
              <w:rPr>
                <w:b/>
                <w:sz w:val="24"/>
                <w:szCs w:val="24"/>
                <w:lang w:val="en-US" w:eastAsia="en-US"/>
              </w:rPr>
            </w:r>
          </w:p>
          <w:p>
            <w:pPr>
              <w:pStyle w:val="Normal"/>
              <w:widowControl w:val="false"/>
              <w:suppressAutoHyphens w:val="true"/>
              <w:spacing w:lineRule="auto" w:line="235" w:before="1" w:after="0"/>
              <w:ind w:right="234" w:hanging="0"/>
              <w:rPr>
                <w:b/>
                <w:b/>
                <w:sz w:val="24"/>
                <w:szCs w:val="24"/>
                <w:lang w:val="en-US" w:eastAsia="en-US"/>
              </w:rPr>
            </w:pPr>
            <w:r>
              <w:rPr>
                <w:b/>
                <w:sz w:val="24"/>
                <w:szCs w:val="24"/>
                <w:lang w:val="en-US" w:eastAsia="en-US"/>
              </w:rPr>
              <w:t>No. (C)</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33" w:after="0"/>
              <w:rPr>
                <w:b/>
                <w:b/>
                <w:sz w:val="24"/>
                <w:szCs w:val="24"/>
                <w:lang w:val="en-US" w:eastAsia="en-US"/>
              </w:rPr>
            </w:pPr>
            <w:r>
              <w:rPr>
                <w:b/>
                <w:sz w:val="24"/>
                <w:szCs w:val="24"/>
                <w:lang w:val="en-US" w:eastAsia="en-US"/>
              </w:rPr>
            </w:r>
          </w:p>
          <w:p>
            <w:pPr>
              <w:pStyle w:val="Normal"/>
              <w:widowControl w:val="false"/>
              <w:suppressAutoHyphens w:val="true"/>
              <w:ind w:right="45" w:hanging="0"/>
              <w:rPr>
                <w:b/>
                <w:b/>
                <w:sz w:val="24"/>
                <w:szCs w:val="24"/>
                <w:lang w:val="en-US" w:eastAsia="en-US"/>
              </w:rPr>
            </w:pPr>
            <w:r>
              <w:rPr>
                <w:b/>
                <w:sz w:val="24"/>
                <w:szCs w:val="24"/>
                <w:lang w:val="en-US" w:eastAsia="en-US"/>
              </w:rPr>
            </w:r>
          </w:p>
          <w:p>
            <w:pPr>
              <w:pStyle w:val="Normal"/>
              <w:widowControl w:val="false"/>
              <w:suppressAutoHyphens w:val="true"/>
              <w:ind w:right="45" w:hanging="0"/>
              <w:rPr>
                <w:b/>
                <w:b/>
                <w:sz w:val="24"/>
                <w:szCs w:val="24"/>
                <w:lang w:val="en-US" w:eastAsia="en-US"/>
              </w:rPr>
            </w:pPr>
            <w:r>
              <w:rPr>
                <w:b/>
                <w:sz w:val="24"/>
                <w:szCs w:val="24"/>
                <w:lang w:val="en-US" w:eastAsia="en-US"/>
              </w:rPr>
              <w:t>%</w:t>
            </w:r>
          </w:p>
          <w:p>
            <w:pPr>
              <w:pStyle w:val="Normal"/>
              <w:widowControl w:val="false"/>
              <w:suppressAutoHyphens w:val="true"/>
              <w:ind w:right="45" w:hanging="0"/>
              <w:rPr>
                <w:b/>
                <w:b/>
                <w:sz w:val="24"/>
                <w:szCs w:val="24"/>
                <w:lang w:val="en-US" w:eastAsia="en-US"/>
              </w:rPr>
            </w:pPr>
            <w:r>
              <w:rPr>
                <w:b/>
                <w:sz w:val="24"/>
                <w:szCs w:val="24"/>
                <w:lang w:val="en-US" w:eastAsia="en-US"/>
              </w:rPr>
              <w:t>(C/A)</w:t>
            </w:r>
          </w:p>
        </w:tc>
        <w:tc>
          <w:tcPr>
            <w:tcW w:w="10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b/>
                <w:b/>
                <w:sz w:val="24"/>
                <w:szCs w:val="24"/>
                <w:lang w:val="en-US" w:eastAsia="en-US"/>
              </w:rPr>
            </w:pPr>
            <w:r>
              <w:rPr>
                <w:b/>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rPr>
                <w:b/>
                <w:b/>
                <w:sz w:val="24"/>
                <w:szCs w:val="24"/>
                <w:lang w:val="en-US" w:eastAsia="en-US"/>
              </w:rPr>
            </w:pPr>
            <w:r>
              <w:rPr>
                <w:b/>
                <w:sz w:val="24"/>
                <w:szCs w:val="24"/>
                <w:lang w:val="en-US" w:eastAsia="en-US"/>
              </w:rPr>
            </w:r>
          </w:p>
          <w:p>
            <w:pPr>
              <w:pStyle w:val="Normal"/>
              <w:widowControl w:val="false"/>
              <w:suppressAutoHyphens w:val="true"/>
              <w:spacing w:lineRule="auto" w:line="271"/>
              <w:rPr>
                <w:b/>
                <w:b/>
                <w:sz w:val="24"/>
                <w:szCs w:val="24"/>
                <w:lang w:val="en-US" w:eastAsia="en-US"/>
              </w:rPr>
            </w:pPr>
            <w:r>
              <w:rPr>
                <w:b/>
                <w:sz w:val="24"/>
                <w:szCs w:val="24"/>
                <w:lang w:val="en-US" w:eastAsia="en-US"/>
              </w:rPr>
            </w:r>
          </w:p>
          <w:p>
            <w:pPr>
              <w:pStyle w:val="Normal"/>
              <w:widowControl w:val="false"/>
              <w:suppressAutoHyphens w:val="true"/>
              <w:spacing w:lineRule="auto" w:line="271"/>
              <w:rPr>
                <w:b/>
                <w:b/>
                <w:sz w:val="24"/>
                <w:szCs w:val="24"/>
                <w:lang w:val="en-US" w:eastAsia="en-US"/>
              </w:rPr>
            </w:pPr>
            <w:r>
              <w:rPr>
                <w:b/>
                <w:sz w:val="24"/>
                <w:szCs w:val="24"/>
                <w:lang w:val="en-US" w:eastAsia="en-US"/>
              </w:rPr>
              <w:t>No.(E)</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33" w:after="0"/>
              <w:rPr>
                <w:b/>
                <w:b/>
                <w:sz w:val="24"/>
                <w:szCs w:val="24"/>
                <w:lang w:val="en-US" w:eastAsia="en-US"/>
              </w:rPr>
            </w:pPr>
            <w:r>
              <w:rPr>
                <w:b/>
                <w:sz w:val="24"/>
                <w:szCs w:val="24"/>
                <w:lang w:val="en-US" w:eastAsia="en-US"/>
              </w:rPr>
            </w:r>
          </w:p>
          <w:p>
            <w:pPr>
              <w:pStyle w:val="Normal"/>
              <w:widowControl w:val="false"/>
              <w:suppressAutoHyphens w:val="true"/>
              <w:ind w:right="113" w:hanging="0"/>
              <w:rPr>
                <w:b/>
                <w:b/>
                <w:sz w:val="24"/>
                <w:szCs w:val="24"/>
                <w:lang w:val="en-US" w:eastAsia="en-US"/>
              </w:rPr>
            </w:pPr>
            <w:r>
              <w:rPr>
                <w:b/>
                <w:sz w:val="24"/>
                <w:szCs w:val="24"/>
                <w:lang w:val="en-US" w:eastAsia="en-US"/>
              </w:rPr>
            </w:r>
          </w:p>
          <w:p>
            <w:pPr>
              <w:pStyle w:val="Normal"/>
              <w:widowControl w:val="false"/>
              <w:suppressAutoHyphens w:val="true"/>
              <w:ind w:right="113" w:hanging="0"/>
              <w:rPr>
                <w:b/>
                <w:b/>
                <w:sz w:val="24"/>
                <w:szCs w:val="24"/>
                <w:lang w:val="en-US" w:eastAsia="en-US"/>
              </w:rPr>
            </w:pPr>
            <w:r>
              <w:rPr>
                <w:b/>
                <w:sz w:val="24"/>
                <w:szCs w:val="24"/>
                <w:lang w:val="en-US" w:eastAsia="en-US"/>
              </w:rPr>
              <w:t>% (E/D)</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33" w:after="0"/>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r>
          </w:p>
          <w:p>
            <w:pPr>
              <w:pStyle w:val="Normal"/>
              <w:widowControl w:val="false"/>
              <w:suppressAutoHyphens w:val="true"/>
              <w:rPr>
                <w:b/>
                <w:b/>
                <w:sz w:val="24"/>
                <w:szCs w:val="24"/>
                <w:lang w:val="en-US" w:eastAsia="en-US"/>
              </w:rPr>
            </w:pPr>
            <w:r>
              <w:rPr>
                <w:b/>
                <w:sz w:val="24"/>
                <w:szCs w:val="24"/>
                <w:lang w:val="en-US" w:eastAsia="en-US"/>
              </w:rPr>
              <w:t>No. (F)</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274" w:after="0"/>
              <w:rPr>
                <w:b/>
                <w:b/>
                <w:sz w:val="24"/>
                <w:szCs w:val="24"/>
                <w:lang w:val="en-US" w:eastAsia="en-US"/>
              </w:rPr>
            </w:pPr>
            <w:r>
              <w:rPr>
                <w:b/>
                <w:sz w:val="24"/>
                <w:szCs w:val="24"/>
                <w:lang w:val="en-US" w:eastAsia="en-US"/>
              </w:rPr>
            </w:r>
          </w:p>
          <w:p>
            <w:pPr>
              <w:pStyle w:val="Normal"/>
              <w:widowControl w:val="false"/>
              <w:suppressAutoHyphens w:val="true"/>
              <w:spacing w:lineRule="auto" w:line="235" w:before="1" w:after="0"/>
              <w:rPr>
                <w:b/>
                <w:b/>
                <w:sz w:val="24"/>
                <w:szCs w:val="24"/>
                <w:lang w:val="en-US" w:eastAsia="en-US"/>
              </w:rPr>
            </w:pPr>
            <w:r>
              <w:rPr>
                <w:b/>
                <w:sz w:val="24"/>
                <w:szCs w:val="24"/>
                <w:lang w:val="en-US" w:eastAsia="en-US"/>
              </w:rPr>
              <w:t>% (F / D)</w:t>
            </w:r>
          </w:p>
        </w:tc>
      </w:tr>
      <w:tr>
        <w:trPr>
          <w:trHeight w:val="277" w:hRule="atLeast"/>
        </w:trPr>
        <w:tc>
          <w:tcPr>
            <w:tcW w:w="10534"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 w:right="1" w:hanging="0"/>
              <w:jc w:val="center"/>
              <w:rPr>
                <w:b/>
                <w:b/>
                <w:sz w:val="24"/>
                <w:szCs w:val="24"/>
                <w:lang w:val="en-US" w:eastAsia="en-US"/>
              </w:rPr>
            </w:pPr>
            <w:r>
              <w:rPr>
                <w:b/>
                <w:sz w:val="24"/>
                <w:szCs w:val="24"/>
                <w:lang w:val="en-US" w:eastAsia="en-US"/>
              </w:rPr>
              <w:t>Employees</w:t>
            </w:r>
          </w:p>
        </w:tc>
      </w:tr>
      <w:tr>
        <w:trPr>
          <w:trHeight w:val="551"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212" w:right="209" w:hanging="0"/>
              <w:rPr>
                <w:b/>
                <w:b/>
                <w:bCs/>
                <w:sz w:val="24"/>
                <w:szCs w:val="24"/>
                <w:lang w:val="en-US" w:eastAsia="en-US"/>
              </w:rPr>
            </w:pPr>
            <w:r>
              <w:rPr>
                <w:b/>
                <w:bCs/>
                <w:sz w:val="24"/>
                <w:szCs w:val="24"/>
                <w:lang w:val="en-US" w:eastAsia="en-US"/>
              </w:rPr>
              <w:t>Permanent</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r>
      <w:tr>
        <w:trPr>
          <w:trHeight w:val="273"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422</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422</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417</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right="126" w:hanging="0"/>
              <w:jc w:val="center"/>
              <w:rPr>
                <w:sz w:val="24"/>
                <w:szCs w:val="24"/>
                <w:lang w:val="en-US" w:eastAsia="en-US"/>
              </w:rPr>
            </w:pPr>
            <w:r>
              <w:rPr>
                <w:sz w:val="24"/>
                <w:szCs w:val="24"/>
                <w:lang w:val="en-US" w:eastAsia="en-US"/>
              </w:rPr>
              <w:t>417</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r>
      <w:tr>
        <w:trPr>
          <w:trHeight w:val="277"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Female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37</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37</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34</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right="186" w:hanging="0"/>
              <w:jc w:val="center"/>
              <w:rPr>
                <w:sz w:val="24"/>
                <w:szCs w:val="24"/>
                <w:lang w:val="en-US" w:eastAsia="en-US"/>
              </w:rPr>
            </w:pPr>
            <w:r>
              <w:rPr>
                <w:sz w:val="24"/>
                <w:szCs w:val="24"/>
                <w:lang w:val="en-US" w:eastAsia="en-US"/>
              </w:rPr>
              <w:t>34</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r>
      <w:tr>
        <w:trPr>
          <w:trHeight w:val="624"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ind w:left="195" w:right="209" w:hanging="0"/>
              <w:rPr>
                <w:b/>
                <w:b/>
                <w:bCs/>
                <w:sz w:val="24"/>
                <w:szCs w:val="24"/>
                <w:lang w:val="en-US" w:eastAsia="en-US"/>
              </w:rPr>
            </w:pPr>
            <w:r>
              <w:rPr>
                <w:b/>
                <w:bCs/>
                <w:sz w:val="24"/>
                <w:szCs w:val="24"/>
                <w:lang w:val="en-US" w:eastAsia="en-US"/>
              </w:rPr>
              <w:t>Other than</w:t>
            </w:r>
          </w:p>
          <w:p>
            <w:pPr>
              <w:pStyle w:val="Normal"/>
              <w:widowControl w:val="false"/>
              <w:suppressAutoHyphens w:val="true"/>
              <w:spacing w:lineRule="auto" w:line="264"/>
              <w:ind w:left="195" w:right="156" w:hanging="0"/>
              <w:rPr>
                <w:b/>
                <w:b/>
                <w:bCs/>
                <w:sz w:val="24"/>
                <w:szCs w:val="24"/>
                <w:lang w:val="en-US" w:eastAsia="en-US"/>
              </w:rPr>
            </w:pPr>
            <w:r>
              <w:rPr>
                <w:b/>
                <w:bCs/>
                <w:sz w:val="24"/>
                <w:szCs w:val="24"/>
                <w:lang w:val="en-US" w:eastAsia="en-US"/>
              </w:rPr>
              <w:t>Permanent</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r>
      <w:tr>
        <w:trPr>
          <w:trHeight w:val="273"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115</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0" w:hanging="0"/>
              <w:jc w:val="center"/>
              <w:rPr>
                <w:sz w:val="24"/>
                <w:szCs w:val="24"/>
                <w:lang w:val="en-US" w:eastAsia="en-US"/>
              </w:rPr>
            </w:pPr>
            <w:r>
              <w:rPr>
                <w:sz w:val="24"/>
                <w:szCs w:val="24"/>
                <w:lang w:val="en-US" w:eastAsia="en-US"/>
              </w:rPr>
              <w:t>115</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113</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right="186" w:hanging="0"/>
              <w:jc w:val="center"/>
              <w:rPr>
                <w:sz w:val="24"/>
                <w:szCs w:val="24"/>
                <w:lang w:val="en-US" w:eastAsia="en-US"/>
              </w:rPr>
            </w:pPr>
            <w:r>
              <w:rPr>
                <w:sz w:val="24"/>
                <w:szCs w:val="24"/>
                <w:lang w:val="en-US" w:eastAsia="en-US"/>
              </w:rPr>
              <w:t>113</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r>
      <w:tr>
        <w:trPr>
          <w:trHeight w:val="277"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Female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9</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0" w:hanging="0"/>
              <w:jc w:val="center"/>
              <w:rPr>
                <w:sz w:val="24"/>
                <w:szCs w:val="24"/>
                <w:lang w:val="en-US" w:eastAsia="en-US"/>
              </w:rPr>
            </w:pPr>
            <w:r>
              <w:rPr>
                <w:sz w:val="24"/>
                <w:szCs w:val="24"/>
                <w:lang w:val="en-US" w:eastAsia="en-US"/>
              </w:rPr>
              <w:t>9</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8</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8</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r>
      <w:tr>
        <w:trPr>
          <w:trHeight w:val="273" w:hRule="atLeast"/>
        </w:trPr>
        <w:tc>
          <w:tcPr>
            <w:tcW w:w="10534"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 w:hanging="0"/>
              <w:jc w:val="center"/>
              <w:rPr>
                <w:b/>
                <w:b/>
                <w:sz w:val="24"/>
                <w:szCs w:val="24"/>
                <w:lang w:val="en-US" w:eastAsia="en-US"/>
              </w:rPr>
            </w:pPr>
            <w:r>
              <w:rPr>
                <w:b/>
                <w:sz w:val="24"/>
                <w:szCs w:val="24"/>
                <w:lang w:val="en-US" w:eastAsia="en-US"/>
              </w:rPr>
              <w:t>Workers</w:t>
            </w:r>
          </w:p>
        </w:tc>
      </w:tr>
      <w:tr>
        <w:trPr>
          <w:trHeight w:val="551"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1"/>
              <w:ind w:left="212" w:hanging="0"/>
              <w:rPr>
                <w:b/>
                <w:b/>
                <w:bCs/>
                <w:sz w:val="24"/>
                <w:szCs w:val="24"/>
                <w:lang w:val="en-US" w:eastAsia="en-US"/>
              </w:rPr>
            </w:pPr>
            <w:r>
              <w:rPr>
                <w:b/>
                <w:bCs/>
                <w:sz w:val="24"/>
                <w:szCs w:val="24"/>
                <w:lang w:val="en-US" w:eastAsia="en-US"/>
              </w:rPr>
              <w:t>Permanent</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r>
      <w:tr>
        <w:trPr>
          <w:trHeight w:val="278"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314</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314</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321</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right="126" w:hanging="0"/>
              <w:jc w:val="center"/>
              <w:rPr>
                <w:sz w:val="24"/>
                <w:szCs w:val="24"/>
                <w:lang w:val="en-US" w:eastAsia="en-US"/>
              </w:rPr>
            </w:pPr>
            <w:r>
              <w:rPr>
                <w:sz w:val="24"/>
                <w:szCs w:val="24"/>
                <w:lang w:val="en-US" w:eastAsia="en-US"/>
              </w:rPr>
              <w:t>321</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r>
      <w:tr>
        <w:trPr>
          <w:trHeight w:val="277"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Female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0</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0" w:hanging="0"/>
              <w:jc w:val="center"/>
              <w:rPr>
                <w:sz w:val="24"/>
                <w:szCs w:val="24"/>
                <w:lang w:val="en-US" w:eastAsia="en-US"/>
              </w:rPr>
            </w:pPr>
            <w:r>
              <w:rPr>
                <w:sz w:val="24"/>
                <w:szCs w:val="24"/>
                <w:lang w:val="en-US" w:eastAsia="en-US"/>
              </w:rPr>
              <w:t>0</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0%</w:t>
            </w:r>
          </w:p>
        </w:tc>
      </w:tr>
      <w:tr>
        <w:trPr>
          <w:trHeight w:val="1079"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ind w:left="212" w:right="209" w:hanging="0"/>
              <w:rPr>
                <w:b/>
                <w:b/>
                <w:bCs/>
                <w:sz w:val="24"/>
                <w:szCs w:val="24"/>
                <w:lang w:val="en-US" w:eastAsia="en-US"/>
              </w:rPr>
            </w:pPr>
            <w:r>
              <w:rPr>
                <w:b/>
                <w:bCs/>
                <w:sz w:val="24"/>
                <w:szCs w:val="24"/>
                <w:lang w:val="en-US" w:eastAsia="en-US"/>
              </w:rPr>
              <w:t>Other than</w:t>
            </w:r>
          </w:p>
          <w:p>
            <w:pPr>
              <w:pStyle w:val="Normal"/>
              <w:widowControl w:val="false"/>
              <w:suppressAutoHyphens w:val="true"/>
              <w:spacing w:lineRule="auto" w:line="264"/>
              <w:ind w:left="212" w:right="139" w:hanging="0"/>
              <w:rPr>
                <w:b/>
                <w:b/>
                <w:bCs/>
                <w:sz w:val="24"/>
                <w:szCs w:val="24"/>
                <w:lang w:val="en-US" w:eastAsia="en-US"/>
              </w:rPr>
            </w:pPr>
            <w:r>
              <w:rPr>
                <w:b/>
                <w:bCs/>
                <w:sz w:val="24"/>
                <w:szCs w:val="24"/>
                <w:lang w:val="en-US" w:eastAsia="en-US"/>
              </w:rPr>
              <w:t>Permanent</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bCs/>
                <w:sz w:val="24"/>
                <w:szCs w:val="24"/>
                <w:lang w:val="en-US" w:eastAsia="en-US"/>
              </w:rPr>
            </w:pPr>
            <w:r>
              <w:rPr>
                <w:b/>
                <w:bCs/>
                <w:sz w:val="24"/>
                <w:szCs w:val="24"/>
                <w:lang w:val="en-US" w:eastAsia="en-US"/>
              </w:rPr>
            </w:r>
          </w:p>
        </w:tc>
      </w:tr>
      <w:tr>
        <w:trPr>
          <w:trHeight w:val="277"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129</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129</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48" w:right="45" w:hanging="0"/>
              <w:jc w:val="center"/>
              <w:rPr>
                <w:sz w:val="24"/>
                <w:szCs w:val="24"/>
                <w:lang w:val="en-US" w:eastAsia="en-US"/>
              </w:rPr>
            </w:pPr>
            <w:r>
              <w:rPr>
                <w:sz w:val="24"/>
                <w:szCs w:val="24"/>
                <w:lang w:val="en-US" w:eastAsia="en-US"/>
              </w:rPr>
              <w:t>100%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104</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right="126" w:hanging="0"/>
              <w:jc w:val="center"/>
              <w:rPr>
                <w:sz w:val="24"/>
                <w:szCs w:val="24"/>
                <w:lang w:val="en-US" w:eastAsia="en-US"/>
              </w:rPr>
            </w:pPr>
            <w:r>
              <w:rPr>
                <w:sz w:val="24"/>
                <w:szCs w:val="24"/>
                <w:lang w:val="en-US" w:eastAsia="en-US"/>
              </w:rPr>
              <w:t>104</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100%</w:t>
            </w:r>
          </w:p>
        </w:tc>
      </w:tr>
      <w:tr>
        <w:trPr>
          <w:trHeight w:val="278" w:hRule="atLeast"/>
        </w:trPr>
        <w:tc>
          <w:tcPr>
            <w:tcW w:w="16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69" w:hanging="0"/>
              <w:rPr>
                <w:sz w:val="24"/>
                <w:szCs w:val="24"/>
                <w:lang w:val="en-US" w:eastAsia="en-US"/>
              </w:rPr>
            </w:pPr>
            <w:r>
              <w:rPr>
                <w:sz w:val="24"/>
                <w:szCs w:val="24"/>
                <w:lang w:val="en-US" w:eastAsia="en-US"/>
              </w:rPr>
              <w:t>Female</w:t>
            </w:r>
          </w:p>
        </w:tc>
        <w:tc>
          <w:tcPr>
            <w:tcW w:w="10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5" w:right="10" w:hanging="0"/>
              <w:jc w:val="center"/>
              <w:rPr>
                <w:sz w:val="24"/>
                <w:szCs w:val="24"/>
                <w:lang w:val="en-US" w:eastAsia="en-US"/>
              </w:rPr>
            </w:pPr>
            <w:r>
              <w:rPr>
                <w:sz w:val="24"/>
                <w:szCs w:val="24"/>
                <w:lang w:val="en-US" w:eastAsia="en-US"/>
              </w:rPr>
              <w:t>0</w:t>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2" w:hanging="0"/>
              <w:jc w:val="center"/>
              <w:rPr>
                <w:sz w:val="24"/>
                <w:szCs w:val="24"/>
                <w:lang w:val="en-US" w:eastAsia="en-US"/>
              </w:rPr>
            </w:pPr>
            <w:r>
              <w:rPr>
                <w:sz w:val="24"/>
                <w:szCs w:val="24"/>
                <w:lang w:val="en-US" w:eastAsia="en-US"/>
              </w:rPr>
              <w:t>0</w:t>
            </w:r>
          </w:p>
        </w:tc>
        <w:tc>
          <w:tcPr>
            <w:tcW w:w="7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0" w:hanging="0"/>
              <w:jc w:val="center"/>
              <w:rPr>
                <w:sz w:val="24"/>
                <w:szCs w:val="24"/>
                <w:lang w:val="en-US" w:eastAsia="en-US"/>
              </w:rPr>
            </w:pPr>
            <w:r>
              <w:rPr>
                <w:sz w:val="24"/>
                <w:szCs w:val="24"/>
                <w:lang w:val="en-US" w:eastAsia="en-US"/>
              </w:rPr>
              <w:t>0</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0%</w:t>
            </w:r>
          </w:p>
        </w:tc>
        <w:tc>
          <w:tcPr>
            <w:tcW w:w="10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18" w:hanging="0"/>
              <w:jc w:val="center"/>
              <w:rPr>
                <w:sz w:val="24"/>
                <w:szCs w:val="24"/>
                <w:lang w:val="en-US" w:eastAsia="en-US"/>
              </w:rPr>
            </w:pPr>
            <w:r>
              <w:rPr>
                <w:sz w:val="24"/>
                <w:szCs w:val="24"/>
                <w:lang w:val="en-US" w:eastAsia="en-US"/>
              </w:rPr>
              <w:t>0</w:t>
            </w:r>
          </w:p>
        </w:tc>
        <w:tc>
          <w:tcPr>
            <w:tcW w:w="6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87" w:right="67" w:hanging="0"/>
              <w:jc w:val="center"/>
              <w:rPr>
                <w:sz w:val="24"/>
                <w:szCs w:val="24"/>
                <w:lang w:val="en-US" w:eastAsia="en-US"/>
              </w:rPr>
            </w:pPr>
            <w:r>
              <w:rPr>
                <w:sz w:val="24"/>
                <w:szCs w:val="24"/>
                <w:lang w:val="en-US" w:eastAsia="en-US"/>
              </w:rPr>
              <w:t>0%</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7" w:hanging="0"/>
              <w:jc w:val="center"/>
              <w:rPr>
                <w:sz w:val="24"/>
                <w:szCs w:val="24"/>
                <w:lang w:val="en-US" w:eastAsia="en-US"/>
              </w:rPr>
            </w:pPr>
            <w:r>
              <w:rPr>
                <w:sz w:val="24"/>
                <w:szCs w:val="24"/>
                <w:lang w:val="en-US" w:eastAsia="en-US"/>
              </w:rPr>
              <w:t>0</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52"/>
              <w:ind w:left="3" w:hanging="0"/>
              <w:jc w:val="center"/>
              <w:rPr>
                <w:sz w:val="24"/>
                <w:szCs w:val="24"/>
                <w:lang w:val="en-US" w:eastAsia="en-US"/>
              </w:rPr>
            </w:pPr>
            <w:r>
              <w:rPr>
                <w:sz w:val="24"/>
                <w:szCs w:val="24"/>
                <w:lang w:val="en-US" w:eastAsia="en-US"/>
              </w:rPr>
              <w:t>0%</w:t>
            </w:r>
          </w:p>
        </w:tc>
      </w:tr>
    </w:tbl>
    <w:p>
      <w:pPr>
        <w:pStyle w:val="Normal"/>
        <w:keepNext w:val="true"/>
        <w:keepLines/>
        <w:spacing w:lineRule="auto" w:line="276" w:before="160" w:after="80"/>
        <w:rPr>
          <w:highlight w:val="yellow"/>
        </w:rPr>
      </w:pPr>
      <w:r>
        <w:rPr>
          <w:highlight w:val="yellow"/>
        </w:rPr>
      </w:r>
    </w:p>
    <w:p>
      <w:pPr>
        <w:pStyle w:val="Normal"/>
        <w:spacing w:before="0" w:after="120"/>
        <w:rPr>
          <w:highlight w:val="yellow"/>
        </w:rPr>
      </w:pPr>
      <w:r>
        <w:rPr>
          <w:highlight w:val="yellow"/>
        </w:rPr>
      </w:r>
    </w:p>
    <w:p>
      <w:pPr>
        <w:pStyle w:val="Normal"/>
        <w:keepNext w:val="true"/>
        <w:keepLines/>
        <w:spacing w:lineRule="auto" w:line="276" w:before="160" w:after="80"/>
        <w:rPr/>
      </w:pPr>
      <w:r>
        <w:rPr>
          <w:b/>
          <w:bCs/>
        </w:rPr>
        <w:t>3(a). Details of remuneration/salary/wages - Median remuneration / wages: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759"/>
        <w:gridCol w:w="827"/>
        <w:gridCol w:w="2036"/>
        <w:gridCol w:w="953"/>
        <w:gridCol w:w="2036"/>
        <w:gridCol w:w="890"/>
        <w:gridCol w:w="2034"/>
      </w:tblGrid>
      <w:tr>
        <w:trPr>
          <w:tblHeader w:val="true"/>
        </w:trPr>
        <w:tc>
          <w:tcPr>
            <w:tcW w:w="1759"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8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Male - Number</w:t>
            </w:r>
          </w:p>
        </w:tc>
        <w:tc>
          <w:tcPr>
            <w:tcW w:w="203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Male - Median remuneration/ salary/ wages of respective category</w:t>
            </w:r>
          </w:p>
        </w:tc>
        <w:tc>
          <w:tcPr>
            <w:tcW w:w="95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Female - Number</w:t>
            </w:r>
          </w:p>
        </w:tc>
        <w:tc>
          <w:tcPr>
            <w:tcW w:w="203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Female - Median remuneration/ salary/ wages of respective category</w:t>
            </w:r>
          </w:p>
        </w:tc>
        <w:tc>
          <w:tcPr>
            <w:tcW w:w="89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Other - Number</w:t>
            </w:r>
          </w:p>
        </w:tc>
        <w:tc>
          <w:tcPr>
            <w:tcW w:w="2034"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Other - Median remuneration/ salary/ wages of respective category</w:t>
            </w:r>
          </w:p>
        </w:tc>
      </w:tr>
      <w:tr>
        <w:trPr/>
        <w:tc>
          <w:tcPr>
            <w:tcW w:w="1759" w:type="dxa"/>
            <w:tcBorders>
              <w:top w:val="single" w:sz="6" w:space="0" w:color="000000"/>
              <w:bottom w:val="single" w:sz="6" w:space="0" w:color="000000"/>
              <w:right w:val="single" w:sz="6" w:space="0" w:color="000000"/>
            </w:tcBorders>
          </w:tcPr>
          <w:p>
            <w:pPr>
              <w:pStyle w:val="Normal"/>
              <w:widowControl w:val="false"/>
              <w:spacing w:lineRule="auto" w:line="264"/>
              <w:rPr/>
            </w:pPr>
            <w:r>
              <w:rPr/>
              <w:t>Board of Directors (BoD)</w:t>
            </w:r>
          </w:p>
        </w:tc>
        <w:tc>
          <w:tcPr>
            <w:tcW w:w="8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w:t>
            </w:r>
          </w:p>
        </w:tc>
        <w:tc>
          <w:tcPr>
            <w:tcW w:w="20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INR 3477273</w:t>
            </w:r>
          </w:p>
        </w:tc>
        <w:tc>
          <w:tcPr>
            <w:tcW w:w="95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20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INR 2113636</w:t>
            </w:r>
          </w:p>
        </w:tc>
        <w:tc>
          <w:tcPr>
            <w:tcW w:w="8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2034" w:type="dxa"/>
            <w:tcBorders>
              <w:top w:val="single" w:sz="6" w:space="0" w:color="000000"/>
              <w:left w:val="single" w:sz="6" w:space="0" w:color="000000"/>
              <w:bottom w:val="single" w:sz="6" w:space="0" w:color="000000"/>
            </w:tcBorders>
          </w:tcPr>
          <w:p>
            <w:pPr>
              <w:pStyle w:val="Normal"/>
              <w:widowControl w:val="false"/>
              <w:spacing w:lineRule="auto" w:line="264"/>
              <w:rPr/>
            </w:pPr>
            <w:r>
              <w:rPr/>
              <w:t>-</w:t>
            </w:r>
          </w:p>
        </w:tc>
      </w:tr>
      <w:tr>
        <w:trPr/>
        <w:tc>
          <w:tcPr>
            <w:tcW w:w="1759" w:type="dxa"/>
            <w:tcBorders>
              <w:top w:val="single" w:sz="6" w:space="0" w:color="000000"/>
              <w:bottom w:val="single" w:sz="6" w:space="0" w:color="000000"/>
              <w:right w:val="single" w:sz="6" w:space="0" w:color="000000"/>
            </w:tcBorders>
          </w:tcPr>
          <w:p>
            <w:pPr>
              <w:pStyle w:val="Normal"/>
              <w:widowControl w:val="false"/>
              <w:spacing w:lineRule="auto" w:line="264"/>
              <w:rPr/>
            </w:pPr>
            <w:r>
              <w:rPr/>
              <w:t>Key Managerial Personnel</w:t>
            </w:r>
          </w:p>
        </w:tc>
        <w:tc>
          <w:tcPr>
            <w:tcW w:w="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2</w:t>
            </w:r>
          </w:p>
        </w:tc>
        <w:tc>
          <w:tcPr>
            <w:tcW w:w="2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highlight w:val="yellow"/>
              </w:rPr>
            </w:pPr>
            <w:r>
              <w:rPr>
                <w:sz w:val="24"/>
                <w:szCs w:val="24"/>
              </w:rPr>
              <w:t xml:space="preserve"> </w:t>
            </w:r>
            <w:r>
              <w:rPr>
                <w:sz w:val="24"/>
                <w:szCs w:val="24"/>
              </w:rPr>
              <w:t>INR3,46,76,379</w:t>
            </w:r>
          </w:p>
        </w:tc>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1</w:t>
            </w:r>
          </w:p>
        </w:tc>
        <w:tc>
          <w:tcPr>
            <w:tcW w:w="2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highlight w:val="yellow"/>
              </w:rPr>
            </w:pPr>
            <w:r>
              <w:rPr>
                <w:sz w:val="24"/>
                <w:szCs w:val="24"/>
              </w:rPr>
              <w:t>INR 1,41,26,718</w:t>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2</w:t>
            </w:r>
          </w:p>
        </w:tc>
        <w:tc>
          <w:tcPr>
            <w:tcW w:w="2034" w:type="dxa"/>
            <w:tcBorders>
              <w:top w:val="single" w:sz="6" w:space="0" w:color="000000"/>
              <w:left w:val="single" w:sz="6" w:space="0" w:color="000000"/>
              <w:bottom w:val="single" w:sz="6" w:space="0" w:color="000000"/>
            </w:tcBorders>
            <w:vAlign w:val="center"/>
          </w:tcPr>
          <w:p>
            <w:pPr>
              <w:pStyle w:val="Normal"/>
              <w:widowControl w:val="false"/>
              <w:spacing w:lineRule="auto" w:line="264"/>
              <w:rPr>
                <w:highlight w:val="yellow"/>
              </w:rPr>
            </w:pPr>
            <w:r>
              <w:rPr>
                <w:sz w:val="24"/>
                <w:szCs w:val="24"/>
              </w:rPr>
              <w:t>INR 3,46,76,379</w:t>
            </w:r>
          </w:p>
        </w:tc>
      </w:tr>
      <w:tr>
        <w:trPr/>
        <w:tc>
          <w:tcPr>
            <w:tcW w:w="175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Employees other than BoD and KMP</w:t>
            </w:r>
          </w:p>
        </w:tc>
        <w:tc>
          <w:tcPr>
            <w:tcW w:w="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420</w:t>
            </w:r>
          </w:p>
        </w:tc>
        <w:tc>
          <w:tcPr>
            <w:tcW w:w="2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highlight w:val="yellow"/>
              </w:rPr>
            </w:pPr>
            <w:r>
              <w:rPr>
                <w:sz w:val="24"/>
                <w:szCs w:val="24"/>
              </w:rPr>
              <w:t>INR 18,99,558</w:t>
            </w:r>
          </w:p>
        </w:tc>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36</w:t>
            </w:r>
          </w:p>
        </w:tc>
        <w:tc>
          <w:tcPr>
            <w:tcW w:w="2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highlight w:val="yellow"/>
              </w:rPr>
            </w:pPr>
            <w:r>
              <w:rPr>
                <w:sz w:val="24"/>
                <w:szCs w:val="24"/>
              </w:rPr>
              <w:t>INR 9,74,382</w:t>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420</w:t>
            </w:r>
          </w:p>
        </w:tc>
        <w:tc>
          <w:tcPr>
            <w:tcW w:w="2034" w:type="dxa"/>
            <w:tcBorders>
              <w:top w:val="single" w:sz="6" w:space="0" w:color="000000"/>
              <w:left w:val="single" w:sz="6" w:space="0" w:color="000000"/>
              <w:bottom w:val="single" w:sz="6" w:space="0" w:color="000000"/>
            </w:tcBorders>
            <w:vAlign w:val="center"/>
          </w:tcPr>
          <w:p>
            <w:pPr>
              <w:pStyle w:val="Normal"/>
              <w:widowControl w:val="false"/>
              <w:spacing w:lineRule="auto" w:line="264"/>
              <w:rPr>
                <w:highlight w:val="yellow"/>
              </w:rPr>
            </w:pPr>
            <w:r>
              <w:rPr>
                <w:sz w:val="24"/>
                <w:szCs w:val="24"/>
              </w:rPr>
              <w:t>INR 18,99,558</w:t>
            </w:r>
          </w:p>
        </w:tc>
      </w:tr>
      <w:tr>
        <w:trPr/>
        <w:tc>
          <w:tcPr>
            <w:tcW w:w="1759" w:type="dxa"/>
            <w:tcBorders>
              <w:top w:val="single" w:sz="6" w:space="0" w:color="000000"/>
              <w:bottom w:val="single" w:sz="6" w:space="0" w:color="000000"/>
              <w:right w:val="single" w:sz="6" w:space="0" w:color="000000"/>
            </w:tcBorders>
          </w:tcPr>
          <w:p>
            <w:pPr>
              <w:pStyle w:val="Normal"/>
              <w:widowControl w:val="false"/>
              <w:spacing w:lineRule="auto" w:line="264"/>
              <w:rPr/>
            </w:pPr>
            <w:r>
              <w:rPr>
                <w:b/>
                <w:bCs/>
              </w:rPr>
              <w:t>Workers</w:t>
            </w:r>
          </w:p>
        </w:tc>
        <w:tc>
          <w:tcPr>
            <w:tcW w:w="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314</w:t>
            </w:r>
          </w:p>
        </w:tc>
        <w:tc>
          <w:tcPr>
            <w:tcW w:w="2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highlight w:val="yellow"/>
              </w:rPr>
            </w:pPr>
            <w:r>
              <w:rPr>
                <w:sz w:val="24"/>
                <w:szCs w:val="24"/>
              </w:rPr>
              <w:t>INR 14,72,496</w:t>
            </w:r>
          </w:p>
        </w:tc>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0</w:t>
            </w:r>
          </w:p>
        </w:tc>
        <w:tc>
          <w:tcPr>
            <w:tcW w:w="2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highlight w:val="yellow"/>
              </w:rPr>
            </w:pPr>
            <w:r>
              <w:rPr>
                <w:sz w:val="24"/>
                <w:szCs w:val="24"/>
              </w:rPr>
              <w:t>0</w:t>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jc w:val="center"/>
              <w:rPr>
                <w:highlight w:val="yellow"/>
              </w:rPr>
            </w:pPr>
            <w:r>
              <w:rPr>
                <w:sz w:val="24"/>
                <w:szCs w:val="24"/>
              </w:rPr>
              <w:t>314</w:t>
            </w:r>
          </w:p>
        </w:tc>
        <w:tc>
          <w:tcPr>
            <w:tcW w:w="2034" w:type="dxa"/>
            <w:tcBorders>
              <w:top w:val="single" w:sz="6" w:space="0" w:color="000000"/>
              <w:left w:val="single" w:sz="6" w:space="0" w:color="000000"/>
              <w:bottom w:val="single" w:sz="6" w:space="0" w:color="000000"/>
            </w:tcBorders>
            <w:vAlign w:val="center"/>
          </w:tcPr>
          <w:p>
            <w:pPr>
              <w:pStyle w:val="Normal"/>
              <w:widowControl w:val="false"/>
              <w:spacing w:lineRule="auto" w:line="264"/>
              <w:rPr>
                <w:highlight w:val="yellow"/>
              </w:rPr>
            </w:pPr>
            <w:r>
              <w:rPr>
                <w:sz w:val="24"/>
                <w:szCs w:val="24"/>
              </w:rPr>
              <w:t>INR 14,72,496</w:t>
            </w:r>
          </w:p>
        </w:tc>
      </w:tr>
    </w:tbl>
    <w:p>
      <w:pPr>
        <w:pStyle w:val="Normal"/>
        <w:spacing w:before="0" w:after="120"/>
        <w:rPr>
          <w:highlight w:val="yellow"/>
        </w:rPr>
      </w:pPr>
      <w:r>
        <w:rPr>
          <w:highlight w:val="yellow"/>
        </w:rPr>
      </w:r>
    </w:p>
    <w:p>
      <w:pPr>
        <w:pStyle w:val="Normal"/>
        <w:spacing w:lineRule="auto" w:line="264" w:before="80" w:after="120"/>
        <w:ind w:left="100" w:hanging="0"/>
        <w:jc w:val="both"/>
        <w:rPr>
          <w:highlight w:val="none"/>
          <w:shd w:fill="FFFFFF" w:val="clear"/>
        </w:rPr>
      </w:pPr>
      <w:r>
        <w:rPr>
          <w:i/>
          <w:iCs/>
          <w:color w:val="666666"/>
          <w:sz w:val="18"/>
          <w:szCs w:val="18"/>
          <w:shd w:fill="FFFFFF" w:val="clear"/>
        </w:rPr>
        <w:t>Note: Directors receiving remuneration as at June 30, 2025 have been considered for calculating median remuneration. Mr. Faisal Saad Hamadi, Mr. Keith Alan Mudge and Ms. Kelly Golden Lynch, being Non-Executive Directors have not been considered for calculating median remuneration since they do not receive any pecuniary benefits from the Company. Mr. Vijaykrishnan Venkatesan, Managing Director, who draws remuneration and the Independent Directors who receive sitting fee and commission have been considered for calculating median remuneration.</w:t>
      </w:r>
    </w:p>
    <w:p>
      <w:pPr>
        <w:pStyle w:val="Normal"/>
        <w:spacing w:lineRule="auto" w:line="264" w:before="80" w:after="120"/>
        <w:ind w:left="100" w:hanging="0"/>
        <w:jc w:val="both"/>
        <w:rPr>
          <w:highlight w:val="yellow"/>
        </w:rPr>
      </w:pPr>
      <w:r>
        <w:rPr>
          <w:highlight w:val="yellow"/>
        </w:rPr>
      </w:r>
    </w:p>
    <w:p>
      <w:pPr>
        <w:pStyle w:val="Normal"/>
        <w:keepNext w:val="true"/>
        <w:keepLines/>
        <w:spacing w:lineRule="auto" w:line="276" w:before="160" w:after="80"/>
        <w:rPr/>
      </w:pPr>
      <w:r>
        <w:rPr>
          <w:b/>
          <w:bCs/>
        </w:rPr>
        <w:t>3(b). Gross wages paid to females as % of total wages paid by the entity,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584"/>
        <w:gridCol w:w="3976"/>
        <w:gridCol w:w="3976"/>
      </w:tblGrid>
      <w:tr>
        <w:trPr>
          <w:tblHeader w:val="true"/>
        </w:trPr>
        <w:tc>
          <w:tcPr>
            <w:tcW w:w="2584" w:type="dxa"/>
            <w:tcBorders>
              <w:top w:val="single" w:sz="6" w:space="0" w:color="000000"/>
              <w:bottom w:val="single" w:sz="6" w:space="0" w:color="000000"/>
              <w:right w:val="single" w:sz="6" w:space="0" w:color="000000"/>
            </w:tcBorders>
            <w:vAlign w:val="center"/>
          </w:tcPr>
          <w:p>
            <w:pPr>
              <w:pStyle w:val="Normal"/>
              <w:widowControl w:val="false"/>
              <w:spacing w:lineRule="auto" w:line="264"/>
              <w:rPr/>
            </w:pPr>
            <w:r>
              <w:rPr>
                <w:b/>
                <w:bCs/>
              </w:rPr>
              <w:t xml:space="preserve"> </w:t>
            </w:r>
          </w:p>
        </w:tc>
        <w:tc>
          <w:tcPr>
            <w:tcW w:w="3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rPr/>
            </w:pPr>
            <w:r>
              <w:rPr>
                <w:b/>
                <w:bCs/>
              </w:rPr>
              <w:t>FY (2025-26)</w:t>
            </w:r>
          </w:p>
        </w:tc>
        <w:tc>
          <w:tcPr>
            <w:tcW w:w="3976" w:type="dxa"/>
            <w:tcBorders>
              <w:top w:val="single" w:sz="6" w:space="0" w:color="000000"/>
              <w:left w:val="single" w:sz="6" w:space="0" w:color="000000"/>
              <w:bottom w:val="single" w:sz="6" w:space="0" w:color="000000"/>
            </w:tcBorders>
            <w:vAlign w:val="center"/>
          </w:tcPr>
          <w:p>
            <w:pPr>
              <w:pStyle w:val="Normal"/>
              <w:widowControl w:val="false"/>
              <w:spacing w:lineRule="auto" w:line="264"/>
              <w:rPr/>
            </w:pPr>
            <w:r>
              <w:rPr>
                <w:b/>
                <w:bCs/>
              </w:rPr>
              <w:t>FY (2024-25)</w:t>
            </w:r>
          </w:p>
        </w:tc>
      </w:tr>
      <w:tr>
        <w:trPr/>
        <w:tc>
          <w:tcPr>
            <w:tcW w:w="2584" w:type="dxa"/>
            <w:tcBorders>
              <w:top w:val="single" w:sz="6" w:space="0" w:color="000000"/>
              <w:bottom w:val="single" w:sz="6" w:space="0" w:color="000000"/>
              <w:right w:val="single" w:sz="6" w:space="0" w:color="000000"/>
            </w:tcBorders>
          </w:tcPr>
          <w:p>
            <w:pPr>
              <w:pStyle w:val="Normal"/>
              <w:widowControl w:val="false"/>
              <w:spacing w:lineRule="auto" w:line="264"/>
              <w:rPr/>
            </w:pPr>
            <w:r>
              <w:rPr/>
              <w:t>Gross wages paid to females as % of total wages</w:t>
            </w:r>
          </w:p>
        </w:tc>
        <w:tc>
          <w:tcPr>
            <w:tcW w:w="397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sz w:val="24"/>
                <w:szCs w:val="24"/>
              </w:rPr>
              <w:t xml:space="preserve">               </w:t>
            </w:r>
            <w:r>
              <w:rPr>
                <w:sz w:val="24"/>
                <w:szCs w:val="24"/>
              </w:rPr>
              <w:t>5.13%</w:t>
            </w:r>
          </w:p>
        </w:tc>
        <w:tc>
          <w:tcPr>
            <w:tcW w:w="397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sz w:val="24"/>
                <w:szCs w:val="24"/>
              </w:rPr>
              <w:t xml:space="preserve">                     </w:t>
            </w:r>
            <w:r>
              <w:rPr>
                <w:sz w:val="24"/>
                <w:szCs w:val="24"/>
              </w:rPr>
              <w:t>4.45%</w:t>
            </w:r>
          </w:p>
        </w:tc>
      </w:tr>
    </w:tbl>
    <w:p>
      <w:pPr>
        <w:pStyle w:val="Normal"/>
        <w:spacing w:before="0" w:after="120"/>
        <w:rPr>
          <w:highlight w:val="yellow"/>
        </w:rPr>
      </w:pPr>
      <w:r>
        <w:rPr>
          <w:highlight w:val="yellow"/>
        </w:rPr>
      </w:r>
    </w:p>
    <w:p>
      <w:pPr>
        <w:pStyle w:val="Normal"/>
        <w:spacing w:lineRule="auto" w:line="264" w:before="80" w:after="120"/>
        <w:ind w:left="100" w:hanging="0"/>
        <w:rPr>
          <w:highlight w:val="none"/>
          <w:shd w:fill="FFFFFF" w:val="clear"/>
        </w:rPr>
      </w:pPr>
      <w:r>
        <w:rPr>
          <w:i/>
          <w:iCs/>
          <w:color w:val="666666"/>
          <w:sz w:val="18"/>
          <w:szCs w:val="18"/>
          <w:shd w:fill="FFFFFF" w:val="clear"/>
        </w:rPr>
        <w:t>Note: Directors receiving remuneration as at June 30, 2025 have been considered for calculating median remuneration. Mr. Faisal Saad Hamadi, Mr. Keith Alan Mudge and Ms. Kelly Golden Lynch, being Non-Executive Directors have not been considered for calculating median remuneration since they do not receive any pecuniary benefits from the Company. Mr. Vijaykrishnan Venkatesan, Managing Director, who draws remuneration and the Independent Directors who receive sitting fee and commission have been considered for calculating median remuneration.</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4</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Do you have a focal point (Individual/ Committee) responsible for addressing human rights impacts or issues caused or contributed to by the business?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 xml:space="preserve">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Redressal officer and the Stakeholders’ Grievance Committee. Furthermore, KIL has the following committees which address specific aspects of human rights impacts or issues: </w:t>
            </w:r>
          </w:p>
          <w:p>
            <w:pPr>
              <w:pStyle w:val="Normal"/>
              <w:widowControl w:val="false"/>
              <w:spacing w:lineRule="auto" w:line="264"/>
              <w:rPr/>
            </w:pPr>
            <w:r>
              <w:rPr/>
            </w:r>
          </w:p>
          <w:p>
            <w:pPr>
              <w:pStyle w:val="Normal"/>
              <w:widowControl w:val="false"/>
              <w:spacing w:lineRule="auto" w:line="264"/>
              <w:rPr/>
            </w:pPr>
            <w:r>
              <w:rPr/>
              <w:t xml:space="preserve">1. Internal Committee: Aggrieved female and male employees who believe that they have been subjected to an act of sexual harassment can file a complaint with the Internal Committee for women and men. The committee investigates each complaint in a fair and expeditious manner. The investigations are kept confidential except when the nature of investigation makes it necessary to disclose certain information. </w:t>
            </w:r>
          </w:p>
          <w:p>
            <w:pPr>
              <w:pStyle w:val="Normal"/>
              <w:widowControl w:val="false"/>
              <w:spacing w:lineRule="auto" w:line="264"/>
              <w:rPr/>
            </w:pPr>
            <w:r>
              <w:rPr/>
            </w:r>
          </w:p>
          <w:p>
            <w:pPr>
              <w:pStyle w:val="Normal"/>
              <w:widowControl w:val="false"/>
              <w:spacing w:lineRule="auto" w:line="264"/>
              <w:rPr/>
            </w:pPr>
            <w:r>
              <w:rPr/>
              <w:t xml:space="preserve">2. Grievance Committee: comprising five members who are union office bearers. They discuss workers' issues through fortnightly grievance meeting. </w:t>
            </w:r>
          </w:p>
          <w:p>
            <w:pPr>
              <w:pStyle w:val="Normal"/>
              <w:widowControl w:val="false"/>
              <w:spacing w:lineRule="auto" w:line="264"/>
              <w:rPr/>
            </w:pPr>
            <w:r>
              <w:rPr/>
            </w:r>
          </w:p>
          <w:p>
            <w:pPr>
              <w:pStyle w:val="Normal"/>
              <w:widowControl w:val="false"/>
              <w:spacing w:lineRule="auto" w:line="264"/>
              <w:rPr>
                <w:highlight w:val="yellow"/>
              </w:rPr>
            </w:pPr>
            <w:r>
              <w:rPr/>
              <w:t>3. Business Ethics and Compliance Code (BECC): Issues raised by employees are categorized into the following: behavioral, ethical/legal. Behavioral issues are directed to HR whereas financial/ethical issues are directed to legal. HR has the overall responsibility of corrective actions.</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5</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Describe the internal mechanisms in place to redress grievances related to human rights issues.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highlight w:val="yellow"/>
              </w:rPr>
            </w:pPr>
            <w:r>
              <w:rPr/>
              <w:t>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the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6. Number of Complaints on the following made by employees and workers: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815"/>
        <w:gridCol w:w="1188"/>
        <w:gridCol w:w="1190"/>
        <w:gridCol w:w="1982"/>
        <w:gridCol w:w="1188"/>
        <w:gridCol w:w="1190"/>
        <w:gridCol w:w="1982"/>
      </w:tblGrid>
      <w:tr>
        <w:trPr>
          <w:tblHeader w:val="true"/>
        </w:trPr>
        <w:tc>
          <w:tcPr>
            <w:tcW w:w="1815"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18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Filed during the year FY (2025-26)</w:t>
            </w:r>
          </w:p>
        </w:tc>
        <w:tc>
          <w:tcPr>
            <w:tcW w:w="119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the end of year FY (2024-25)</w:t>
            </w:r>
          </w:p>
        </w:tc>
        <w:tc>
          <w:tcPr>
            <w:tcW w:w="198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Remarks FY (2025-26)</w:t>
            </w:r>
          </w:p>
        </w:tc>
        <w:tc>
          <w:tcPr>
            <w:tcW w:w="118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Filed during the year FY (2024-25)</w:t>
            </w:r>
          </w:p>
        </w:tc>
        <w:tc>
          <w:tcPr>
            <w:tcW w:w="119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the end of year FY (2024-25)</w:t>
            </w:r>
          </w:p>
        </w:tc>
        <w:tc>
          <w:tcPr>
            <w:tcW w:w="1982"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Remarks FY (2024-25)</w:t>
            </w:r>
          </w:p>
        </w:tc>
      </w:tr>
      <w:tr>
        <w:trPr/>
        <w:tc>
          <w:tcPr>
            <w:tcW w:w="1815" w:type="dxa"/>
            <w:tcBorders>
              <w:top w:val="single" w:sz="6" w:space="0" w:color="000000"/>
              <w:bottom w:val="single" w:sz="6" w:space="0" w:color="000000"/>
              <w:right w:val="single" w:sz="6" w:space="0" w:color="000000"/>
            </w:tcBorders>
          </w:tcPr>
          <w:p>
            <w:pPr>
              <w:pStyle w:val="Normal"/>
              <w:widowControl w:val="false"/>
              <w:spacing w:lineRule="auto" w:line="264"/>
              <w:rPr/>
            </w:pPr>
            <w:r>
              <w:rPr/>
              <w:t>Sexual Harassment</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815" w:type="dxa"/>
            <w:tcBorders>
              <w:top w:val="single" w:sz="6" w:space="0" w:color="000000"/>
              <w:bottom w:val="single" w:sz="6" w:space="0" w:color="000000"/>
              <w:right w:val="single" w:sz="6" w:space="0" w:color="000000"/>
            </w:tcBorders>
          </w:tcPr>
          <w:p>
            <w:pPr>
              <w:pStyle w:val="Normal"/>
              <w:widowControl w:val="false"/>
              <w:spacing w:lineRule="auto" w:line="264"/>
              <w:rPr/>
            </w:pPr>
            <w:r>
              <w:rPr/>
              <w:t>Discrimination at workplace</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815" w:type="dxa"/>
            <w:tcBorders>
              <w:top w:val="single" w:sz="6" w:space="0" w:color="000000"/>
              <w:bottom w:val="single" w:sz="6" w:space="0" w:color="000000"/>
              <w:right w:val="single" w:sz="6" w:space="0" w:color="000000"/>
            </w:tcBorders>
          </w:tcPr>
          <w:p>
            <w:pPr>
              <w:pStyle w:val="Normal"/>
              <w:widowControl w:val="false"/>
              <w:spacing w:lineRule="auto" w:line="264"/>
              <w:rPr/>
            </w:pPr>
            <w:r>
              <w:rPr/>
              <w:t>Child Labour</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815" w:type="dxa"/>
            <w:tcBorders>
              <w:top w:val="single" w:sz="6" w:space="0" w:color="000000"/>
              <w:bottom w:val="single" w:sz="6" w:space="0" w:color="000000"/>
              <w:right w:val="single" w:sz="6" w:space="0" w:color="000000"/>
            </w:tcBorders>
          </w:tcPr>
          <w:p>
            <w:pPr>
              <w:pStyle w:val="Normal"/>
              <w:widowControl w:val="false"/>
              <w:spacing w:lineRule="auto" w:line="264"/>
              <w:rPr/>
            </w:pPr>
            <w:r>
              <w:rPr/>
              <w:t>Forced Labour/Involuntary Labour</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815" w:type="dxa"/>
            <w:tcBorders>
              <w:top w:val="single" w:sz="6" w:space="0" w:color="000000"/>
              <w:bottom w:val="single" w:sz="6" w:space="0" w:color="000000"/>
              <w:right w:val="single" w:sz="6" w:space="0" w:color="000000"/>
            </w:tcBorders>
          </w:tcPr>
          <w:p>
            <w:pPr>
              <w:pStyle w:val="Normal"/>
              <w:widowControl w:val="false"/>
              <w:spacing w:lineRule="auto" w:line="264"/>
              <w:rPr/>
            </w:pPr>
            <w:r>
              <w:rPr/>
              <w:t>Wages</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815" w:type="dxa"/>
            <w:tcBorders>
              <w:top w:val="single" w:sz="6" w:space="0" w:color="000000"/>
              <w:bottom w:val="single" w:sz="6" w:space="0" w:color="000000"/>
              <w:right w:val="single" w:sz="6" w:space="0" w:color="000000"/>
            </w:tcBorders>
          </w:tcPr>
          <w:p>
            <w:pPr>
              <w:pStyle w:val="Normal"/>
              <w:widowControl w:val="false"/>
              <w:spacing w:lineRule="auto" w:line="264"/>
              <w:rPr/>
            </w:pPr>
            <w:r>
              <w:rPr/>
              <w:t>Other human rights related issues</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19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982"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7. Complaints filed under the Sexual Harassment of Women at Workplace (Prevention, Prohibition and Redressal) Act, 2013,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8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386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Complaints reported under Sexual Harassment on of Women at Workplace (Prevention, Prohibition and Redressal) Act, 2013 (POSH)</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Complaints on POSH as a % of female employees / workers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rHeight w:val="458" w:hRule="atLeast"/>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Complaints on POSH upheld</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bl>
    <w:p>
      <w:pPr>
        <w:pStyle w:val="Normal"/>
        <w:spacing w:before="0" w:after="12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8</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Mechanisms to prevent adverse consequences to the complainant in discrimination and harassment cases.</w:t>
            </w:r>
          </w:p>
        </w:tc>
        <w:tc>
          <w:tcPr>
            <w:tcW w:w="5957" w:type="dxa"/>
            <w:tcBorders>
              <w:top w:val="single" w:sz="6" w:space="0" w:color="000000"/>
              <w:left w:val="single" w:sz="6" w:space="0" w:color="000000"/>
              <w:bottom w:val="single" w:sz="6" w:space="0" w:color="000000"/>
            </w:tcBorders>
          </w:tcPr>
          <w:p>
            <w:pPr>
              <w:pStyle w:val="ListParagraph"/>
              <w:widowControl w:val="false"/>
              <w:numPr>
                <w:ilvl w:val="0"/>
                <w:numId w:val="2"/>
              </w:numPr>
              <w:spacing w:lineRule="auto" w:line="264"/>
              <w:rPr/>
            </w:pPr>
            <w:r>
              <w:rPr/>
              <w:t>We have a toll free number to report cases if any. Also it can be addressed to Legal Department</w:t>
            </w:r>
          </w:p>
          <w:p>
            <w:pPr>
              <w:pStyle w:val="ListParagraph"/>
              <w:widowControl w:val="false"/>
              <w:numPr>
                <w:ilvl w:val="0"/>
                <w:numId w:val="2"/>
              </w:numPr>
              <w:spacing w:lineRule="auto" w:line="264"/>
              <w:rPr/>
            </w:pPr>
            <w:r>
              <w:rPr/>
              <w:t>Refresher session on POSH were conducted for all the employees</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9</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Do human rights requirements form part of your business agreements and contracts?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All our business agreements specifically provide for labour law compliances to be adhered to by all our suppliers and business partners, including fair wages and timely payment of statutory dues.</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10. Assessments for the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484"/>
        <w:gridCol w:w="9051"/>
      </w:tblGrid>
      <w:tr>
        <w:trPr>
          <w:tblHeader w:val="true"/>
        </w:trPr>
        <w:tc>
          <w:tcPr>
            <w:tcW w:w="1484"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9051"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 of your plants and offices that were assessed (by entity or statutory authorities or third parties)</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Child labour</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Forced/involuntary labour</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Sexual harassment</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Discrimination at workplace</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Wages</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r>
        <w:trPr/>
        <w:tc>
          <w:tcPr>
            <w:tcW w:w="1484" w:type="dxa"/>
            <w:tcBorders>
              <w:top w:val="single" w:sz="6" w:space="0" w:color="000000"/>
              <w:bottom w:val="single" w:sz="6" w:space="0" w:color="000000"/>
              <w:right w:val="single" w:sz="6" w:space="0" w:color="000000"/>
            </w:tcBorders>
          </w:tcPr>
          <w:p>
            <w:pPr>
              <w:pStyle w:val="Normal"/>
              <w:widowControl w:val="false"/>
              <w:spacing w:lineRule="auto" w:line="264"/>
              <w:rPr/>
            </w:pPr>
            <w:r>
              <w:rPr/>
              <w:t>Others – please specify</w:t>
            </w:r>
          </w:p>
        </w:tc>
        <w:tc>
          <w:tcPr>
            <w:tcW w:w="9051"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bl>
    <w:p>
      <w:pPr>
        <w:pStyle w:val="Normal"/>
        <w:spacing w:before="0" w:after="120"/>
        <w:rPr>
          <w:highlight w:val="yellow"/>
        </w:rPr>
      </w:pPr>
      <w:r>
        <w:rPr>
          <w:highlight w:val="yellow"/>
        </w:rPr>
      </w:r>
    </w:p>
    <w:p>
      <w:pPr>
        <w:pStyle w:val="Normal"/>
        <w:spacing w:lineRule="auto" w:line="264" w:before="80" w:after="120"/>
        <w:ind w:left="100" w:hanging="0"/>
        <w:rPr/>
      </w:pPr>
      <w:r>
        <w:rPr>
          <w:i/>
          <w:iCs/>
          <w:color w:val="666666"/>
          <w:sz w:val="18"/>
          <w:szCs w:val="18"/>
        </w:rPr>
        <w:t>Note: The company internally monitors compliance for all applicable laws and policies pertaining to human rights issues.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highlight w:val="none"/>
                <w:shd w:fill="FFFFFF" w:val="clear"/>
              </w:rPr>
            </w:pPr>
            <w:r>
              <w:rPr>
                <w:b/>
                <w:bCs/>
                <w:shd w:fill="FFFFFF" w:val="clear"/>
              </w:rPr>
              <w:t>11</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highlight w:val="none"/>
                <w:shd w:fill="FFFFFF" w:val="clear"/>
              </w:rPr>
            </w:pPr>
            <w:r>
              <w:rPr>
                <w:b/>
                <w:bCs/>
                <w:shd w:fill="FFFFFF" w:val="clear"/>
              </w:rPr>
              <w:t>Provide details of any corrective actions taken or underway to address significant risks / concerns arising from the assessments at Question above.</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highlight w:val="none"/>
                <w:shd w:fill="FFFFFF" w:val="clear"/>
              </w:rPr>
            </w:pPr>
            <w:r>
              <w:rPr>
                <w:shd w:fill="FFFFFF" w:val="clear"/>
              </w:rPr>
              <w:t>Not Applicable</w:t>
            </w:r>
          </w:p>
        </w:tc>
      </w:tr>
    </w:tbl>
    <w:p>
      <w:pPr>
        <w:pStyle w:val="Normal"/>
        <w:spacing w:before="0" w:after="120"/>
        <w:rPr>
          <w:highlight w:val="yellow"/>
        </w:rPr>
      </w:pPr>
      <w:r>
        <w:rPr>
          <w:highlight w:val="yellow"/>
        </w:rPr>
      </w:r>
    </w:p>
    <w:p>
      <w:pPr>
        <w:pStyle w:val="Normal"/>
        <w:spacing w:before="0" w:after="160"/>
        <w:rPr/>
      </w:pPr>
      <w:r>
        <w:rPr/>
      </w:r>
    </w:p>
    <w:p>
      <w:pPr>
        <w:pStyle w:val="Normal"/>
        <w:keepNext w:val="true"/>
        <w:keepLines/>
        <w:shd w:val="clear" w:color="auto" w:fill="F7F7F7"/>
        <w:spacing w:before="200" w:after="180"/>
        <w:ind w:left="100" w:hanging="0"/>
        <w:rPr/>
      </w:pPr>
      <w:r>
        <w:rPr>
          <w:b/>
          <w:bCs/>
          <w:sz w:val="24"/>
          <w:szCs w:val="24"/>
        </w:rPr>
        <w:t>PRINCIPLE 6</w:t>
      </w:r>
    </w:p>
    <w:p>
      <w:pPr>
        <w:pStyle w:val="Normal"/>
        <w:keepNext w:val="true"/>
        <w:keepLines/>
        <w:pBdr>
          <w:bottom w:val="single" w:sz="4" w:space="4" w:color="E5E5E5"/>
        </w:pBdr>
        <w:spacing w:lineRule="auto" w:line="276" w:before="200" w:after="140"/>
        <w:rPr/>
      </w:pPr>
      <w:r>
        <w:rPr>
          <w:b/>
          <w:bCs/>
        </w:rPr>
        <w:t>Essential Indicators</w:t>
      </w:r>
    </w:p>
    <w:p>
      <w:pPr>
        <w:pStyle w:val="Normal"/>
        <w:keepNext w:val="true"/>
        <w:keepLines/>
        <w:spacing w:lineRule="auto" w:line="276" w:before="160" w:after="80"/>
        <w:rPr/>
      </w:pPr>
      <w:r>
        <w:rPr>
          <w:b/>
          <w:bCs/>
        </w:rPr>
        <w:t>1(a). Details of total energy consumption (in Joules or multiples) and energy intensity,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bottom w:val="single" w:sz="4" w:space="0" w:color="000000"/>
              <w:right w:val="single" w:sz="4" w:space="0" w:color="000000"/>
            </w:tcBorders>
            <w:shd w:color="auto" w:fill="FFFFFF" w:val="clear"/>
            <w:vAlign w:val="center"/>
          </w:tcPr>
          <w:p>
            <w:pPr>
              <w:pStyle w:val="Normal"/>
              <w:widowControl w:val="false"/>
              <w:spacing w:lineRule="auto" w:line="264"/>
              <w:rPr/>
            </w:pPr>
            <w:r>
              <w:rPr>
                <w:b/>
                <w:bCs/>
              </w:rPr>
              <w:t xml:space="preserve"> </w:t>
            </w:r>
          </w:p>
        </w:tc>
        <w:tc>
          <w:tcPr>
            <w:tcW w:w="3868"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64"/>
              <w:rPr/>
            </w:pPr>
            <w:r>
              <w:rPr>
                <w:b/>
                <w:bCs/>
              </w:rPr>
              <w:t>FY (2025-26)</w:t>
            </w:r>
          </w:p>
        </w:tc>
        <w:tc>
          <w:tcPr>
            <w:tcW w:w="3868" w:type="dxa"/>
            <w:tcBorders>
              <w:left w:val="single" w:sz="4" w:space="0" w:color="000000"/>
              <w:bottom w:val="single" w:sz="4" w:space="0" w:color="000000"/>
            </w:tcBorders>
            <w:shd w:color="auto" w:fill="FFFFFF" w:val="clear"/>
            <w:vAlign w:val="center"/>
          </w:tcPr>
          <w:p>
            <w:pPr>
              <w:pStyle w:val="Normal"/>
              <w:widowControl w:val="false"/>
              <w:spacing w:lineRule="auto" w:line="264"/>
              <w:rPr/>
            </w:pPr>
            <w:r>
              <w:rPr>
                <w:b/>
                <w:bCs/>
              </w:rPr>
              <w:t>FY (2024-25)</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From renewable sources</w:t>
            </w:r>
          </w:p>
        </w:tc>
        <w:tc>
          <w:tcPr>
            <w:tcW w:w="38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electricity consumption (In GJ)(A)</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58464</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66186.00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fuel consumption (In GJ)(B)</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0</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0.00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Energy consumption through other sources(In GJ) (C)</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0</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energy consumed from renewable(In GJ) (A+B+C)</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58464</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66186.00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From non-renewable sources</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 </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electricity consumption(In GJ) (D)</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15188.54</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6468.54</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fuel consumption(In GJ) (E)</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1917.98</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1857.05</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Energy consumption through other sources(In GJ) (F)</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0</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energy consumed from non-renewable sources(In GJ) (D+E+F)</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17106.52</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8325.59</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Total energy consumed(In GJ) (A+B+C+D+E+F)</w:t>
            </w:r>
          </w:p>
        </w:tc>
        <w:tc>
          <w:tcPr>
            <w:tcW w:w="3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64"/>
              <w:jc w:val="center"/>
              <w:rPr/>
            </w:pPr>
            <w:r>
              <w:rPr/>
              <w:t>75570.52</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74511.59</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Energy intensity per rupee of turnover (Total energy consumed / Revenue from operations)</w:t>
            </w:r>
          </w:p>
        </w:tc>
        <w:tc>
          <w:tcPr>
            <w:tcW w:w="3868"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64"/>
              <w:jc w:val="center"/>
              <w:rPr>
                <w:highlight w:val="none"/>
                <w:shd w:fill="FFFFFF" w:val="clear"/>
              </w:rPr>
            </w:pPr>
            <w:r>
              <w:rPr>
                <w:shd w:fill="FFFFFF" w:val="clear"/>
              </w:rPr>
            </w:r>
          </w:p>
        </w:tc>
        <w:tc>
          <w:tcPr>
            <w:tcW w:w="3868" w:type="dxa"/>
            <w:tcBorders>
              <w:top w:val="single" w:sz="4" w:space="0" w:color="000000"/>
              <w:left w:val="single" w:sz="4" w:space="0" w:color="000000"/>
              <w:bottom w:val="single" w:sz="4" w:space="0" w:color="000000"/>
            </w:tcBorders>
            <w:vAlign w:val="center"/>
          </w:tcPr>
          <w:p>
            <w:pPr>
              <w:pStyle w:val="Normal"/>
              <w:widowControl w:val="false"/>
              <w:spacing w:lineRule="auto" w:line="264"/>
              <w:jc w:val="center"/>
              <w:rPr/>
            </w:pPr>
            <w:r>
              <w:rPr/>
              <w:t>6.37GJ/million-INR</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Energy intensity per rupee of turnover adjusted for Purchasing Power Parity (PPP) (Total energy consumed / Revenue from operations adjusted for PPP)</w:t>
            </w:r>
          </w:p>
        </w:tc>
        <w:tc>
          <w:tcPr>
            <w:tcW w:w="3868"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64"/>
              <w:jc w:val="center"/>
              <w:rPr>
                <w:color w:val="FFFFFF"/>
                <w:highlight w:val="none"/>
                <w:shd w:fill="FFFFFF" w:val="clear"/>
              </w:rPr>
            </w:pPr>
            <w:r>
              <w:rPr>
                <w:color w:val="FFFFFF"/>
                <w:shd w:fill="FFFFFF" w:val="clear"/>
              </w:rPr>
            </w:r>
          </w:p>
        </w:tc>
        <w:tc>
          <w:tcPr>
            <w:tcW w:w="3868" w:type="dxa"/>
            <w:tcBorders>
              <w:top w:val="single" w:sz="4" w:space="0" w:color="000000"/>
              <w:left w:val="single" w:sz="4" w:space="0" w:color="000000"/>
              <w:bottom w:val="single" w:sz="4" w:space="0" w:color="000000"/>
            </w:tcBorders>
            <w:vAlign w:val="center"/>
          </w:tcPr>
          <w:p>
            <w:pPr>
              <w:pStyle w:val="Normal"/>
              <w:widowControl w:val="false"/>
              <w:spacing w:lineRule="auto" w:line="264"/>
              <w:jc w:val="center"/>
              <w:rPr/>
            </w:pPr>
            <w:r>
              <w:rPr/>
              <w:t>6.37 GJ/million-INR</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Energy intensity in terms of physical output</w:t>
            </w:r>
          </w:p>
        </w:tc>
        <w:tc>
          <w:tcPr>
            <w:tcW w:w="38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t>NA</w:t>
            </w:r>
          </w:p>
        </w:tc>
        <w:tc>
          <w:tcPr>
            <w:tcW w:w="3868" w:type="dxa"/>
            <w:tcBorders>
              <w:top w:val="single" w:sz="4" w:space="0" w:color="000000"/>
              <w:left w:val="single" w:sz="4" w:space="0" w:color="000000"/>
              <w:bottom w:val="single" w:sz="4" w:space="0" w:color="000000"/>
            </w:tcBorders>
          </w:tcPr>
          <w:p>
            <w:pPr>
              <w:pStyle w:val="Normal"/>
              <w:widowControl w:val="false"/>
              <w:spacing w:lineRule="auto" w:line="264"/>
              <w:jc w:val="center"/>
              <w:rPr/>
            </w:pPr>
            <w:r>
              <w:rPr/>
              <w:t>NA</w:t>
            </w:r>
          </w:p>
        </w:tc>
      </w:tr>
      <w:tr>
        <w:trPr/>
        <w:tc>
          <w:tcPr>
            <w:tcW w:w="2800" w:type="dxa"/>
            <w:tcBorders>
              <w:top w:val="single" w:sz="4" w:space="0" w:color="000000"/>
              <w:right w:val="single" w:sz="4" w:space="0" w:color="000000"/>
            </w:tcBorders>
          </w:tcPr>
          <w:p>
            <w:pPr>
              <w:pStyle w:val="Normal"/>
              <w:widowControl w:val="false"/>
              <w:spacing w:lineRule="auto" w:line="264"/>
              <w:rPr/>
            </w:pPr>
            <w:r>
              <w:rPr/>
              <w:t>Energy intensity (optional) – the relevant metric may be selected by the entity</w:t>
            </w:r>
          </w:p>
        </w:tc>
        <w:tc>
          <w:tcPr>
            <w:tcW w:w="3868" w:type="dxa"/>
            <w:tcBorders>
              <w:top w:val="single" w:sz="4" w:space="0" w:color="000000"/>
              <w:left w:val="single" w:sz="4" w:space="0" w:color="000000"/>
              <w:right w:val="single" w:sz="4" w:space="0" w:color="000000"/>
            </w:tcBorders>
          </w:tcPr>
          <w:p>
            <w:pPr>
              <w:pStyle w:val="Normal"/>
              <w:widowControl w:val="false"/>
              <w:spacing w:lineRule="auto" w:line="264"/>
              <w:jc w:val="center"/>
              <w:rPr/>
            </w:pPr>
            <w:r>
              <w:rPr/>
              <w:t>NA</w:t>
            </w:r>
          </w:p>
        </w:tc>
        <w:tc>
          <w:tcPr>
            <w:tcW w:w="3868" w:type="dxa"/>
            <w:tcBorders>
              <w:top w:val="single" w:sz="4" w:space="0" w:color="000000"/>
              <w:left w:val="single" w:sz="4" w:space="0" w:color="000000"/>
            </w:tcBorders>
          </w:tcPr>
          <w:p>
            <w:pPr>
              <w:pStyle w:val="Normal"/>
              <w:widowControl w:val="false"/>
              <w:spacing w:lineRule="auto" w:line="264"/>
              <w:jc w:val="center"/>
              <w:rPr/>
            </w:pPr>
            <w:r>
              <w:rPr/>
              <w:t>NA</w:t>
            </w:r>
          </w:p>
        </w:tc>
      </w:tr>
    </w:tbl>
    <w:p>
      <w:pPr>
        <w:pStyle w:val="Normal"/>
        <w:spacing w:before="0" w:after="120"/>
        <w:rPr>
          <w:color w:val="000000" w:themeColor="text1"/>
          <w:sz w:val="22"/>
          <w:szCs w:val="22"/>
        </w:rPr>
      </w:pPr>
      <w:r>
        <w:rPr>
          <w:color w:val="000000" w:themeColor="text1"/>
          <w:sz w:val="22"/>
          <w:szCs w:val="22"/>
        </w:rPr>
      </w:r>
    </w:p>
    <w:p>
      <w:pPr>
        <w:pStyle w:val="Normal"/>
        <w:spacing w:lineRule="auto" w:line="264" w:before="80" w:after="120"/>
        <w:ind w:left="100" w:hanging="0"/>
        <w:rPr>
          <w:i/>
          <w:i/>
          <w:iCs/>
          <w:color w:val="000000" w:themeColor="text1"/>
        </w:rPr>
      </w:pPr>
      <w:r>
        <w:rPr>
          <w:i/>
          <w:iCs/>
          <w:color w:val="000000" w:themeColor="text1"/>
        </w:rPr>
        <w:t>Note: The FY2025-26 scope 2 emissions includes electricity consumed by KIL sales offices.</w:t>
      </w:r>
    </w:p>
    <w:p>
      <w:pPr>
        <w:pStyle w:val="Normal"/>
        <w:spacing w:lineRule="auto" w:line="264" w:before="80" w:after="120"/>
        <w:ind w:left="100" w:hanging="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Note: Indicate if any independent assessment/ evaluation/assurance has been carried out by an external agency? If yes, name of the external agency.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2</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Does the entity have any sites / facilities identified as designated consumers (DCs) under the Performance, Achieve and Trade (PAT) Scheme of the Government of India? (Y/N) If yes, disclose whether targets set under the PAT scheme have been achieved. In case targets have not been achieved, provide the remedial action taken, if any.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3(a). Provide details of the following disclosures related to water,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highlight w:val="yellow"/>
              </w:rPr>
            </w:pPr>
            <w:r>
              <w:rPr>
                <w:b/>
                <w:bCs/>
                <w:highlight w:val="yellow"/>
              </w:rPr>
              <w:t xml:space="preserve"> </w:t>
            </w:r>
          </w:p>
        </w:tc>
        <w:tc>
          <w:tcPr>
            <w:tcW w:w="38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highlight w:val="yellow"/>
              </w:rPr>
            </w:pPr>
            <w:r>
              <w:rPr>
                <w:b/>
                <w:bCs/>
              </w:rPr>
              <w:t>FY (2025-26)</w:t>
            </w:r>
          </w:p>
        </w:tc>
        <w:tc>
          <w:tcPr>
            <w:tcW w:w="386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highlight w:val="yellow"/>
              </w:rPr>
            </w:pPr>
            <w:r>
              <w:rPr>
                <w:b/>
                <w:bCs/>
              </w:rPr>
              <w:t>FY (2024-25)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Water withdrawal by source (in kilolitres)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highlight w:val="yellow"/>
              </w:rPr>
            </w:pPr>
            <w:r>
              <w:rPr>
                <w:highlight w:val="yellow"/>
              </w:rPr>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 Surface water</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highlight w:val="yellow"/>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 Groundwater</w:t>
            </w:r>
          </w:p>
        </w:tc>
        <w:tc>
          <w:tcPr>
            <w:tcW w:w="3868" w:type="dxa"/>
            <w:tcBorders>
              <w:left w:val="single" w:sz="4" w:space="0" w:color="000000"/>
              <w:bottom w:val="single" w:sz="4" w:space="0" w:color="000000"/>
              <w:right w:val="single" w:sz="4" w:space="0" w:color="000000"/>
            </w:tcBorders>
            <w:shd w:color="auto" w:fill="FFFFFF" w:themeFill="background1" w:val="clear"/>
            <w:vAlign w:val="bottom"/>
          </w:tcPr>
          <w:p>
            <w:pPr>
              <w:pStyle w:val="Normal"/>
              <w:widowControl w:val="false"/>
              <w:spacing w:lineRule="auto" w:line="264"/>
              <w:jc w:val="center"/>
              <w:rPr>
                <w:highlight w:val="yellow"/>
              </w:rPr>
            </w:pPr>
            <w:r>
              <w:rPr>
                <w:rFonts w:cs="Calibri" w:ascii="Calibri" w:hAnsi="Calibri"/>
                <w:sz w:val="22"/>
                <w:szCs w:val="22"/>
              </w:rPr>
              <w:t>30884.35</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37022</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(iii) Third party water</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highlight w:val="yellow"/>
              </w:rPr>
            </w:pPr>
            <w:r>
              <w:rPr>
                <w:rFonts w:cs="Calibri" w:ascii="Calibri" w:hAnsi="Calibri"/>
                <w:sz w:val="22"/>
                <w:szCs w:val="22"/>
              </w:rPr>
              <w:t>13834.92</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13869.77</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(iv) Seawater / desalinated water</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highlight w:val="yellow"/>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(v) Others</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highlight w:val="yellow"/>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volume of water withdrawal (in kilolitres) (i + ii + iii + iv + v)</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highlight w:val="yellow"/>
              </w:rPr>
            </w:pPr>
            <w:r>
              <w:rPr>
                <w:rFonts w:cs="Calibri" w:ascii="Calibri" w:hAnsi="Calibri"/>
                <w:sz w:val="22"/>
                <w:szCs w:val="22"/>
              </w:rPr>
              <w:t>44719.27</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50891.77</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volume of water consumption (in kilolitres)</w:t>
            </w:r>
          </w:p>
        </w:tc>
        <w:tc>
          <w:tcPr>
            <w:tcW w:w="3868" w:type="dxa"/>
            <w:tcBorders>
              <w:left w:val="single" w:sz="4" w:space="0" w:color="000000"/>
              <w:bottom w:val="single" w:sz="4" w:space="0" w:color="000000"/>
              <w:right w:val="single" w:sz="4" w:space="0" w:color="000000"/>
            </w:tcBorders>
            <w:shd w:color="auto" w:fill="FFFFFF" w:themeFill="background1" w:val="clear"/>
            <w:vAlign w:val="bottom"/>
          </w:tcPr>
          <w:p>
            <w:pPr>
              <w:pStyle w:val="Normal"/>
              <w:widowControl w:val="false"/>
              <w:spacing w:lineRule="auto" w:line="264"/>
              <w:jc w:val="center"/>
              <w:rPr>
                <w:highlight w:val="yellow"/>
              </w:rPr>
            </w:pPr>
            <w:r>
              <w:rPr>
                <w:rFonts w:cs="Calibri" w:ascii="Calibri" w:hAnsi="Calibri"/>
                <w:sz w:val="22"/>
                <w:szCs w:val="22"/>
              </w:rPr>
              <w:t>44648.77</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50891.77</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Water intensity per rupee of turnover (Water consumed / turnover)</w:t>
            </w:r>
          </w:p>
        </w:tc>
        <w:tc>
          <w:tcPr>
            <w:tcW w:w="3868"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val="false"/>
              <w:spacing w:lineRule="auto" w:line="264"/>
              <w:jc w:val="center"/>
              <w:rPr>
                <w:highlight w:val="yellow"/>
              </w:rPr>
            </w:pPr>
            <w:r>
              <w:rPr>
                <w:highlight w:val="yellow"/>
              </w:rPr>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4.35 KL/million-INR</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Water intensity per rupee of turnover adjusted for Purchasing (Total water consumption / Revenue from operations adjusted for PPP)</w:t>
            </w:r>
          </w:p>
        </w:tc>
        <w:tc>
          <w:tcPr>
            <w:tcW w:w="3868"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val="false"/>
              <w:spacing w:lineRule="auto" w:line="264"/>
              <w:jc w:val="center"/>
              <w:rPr>
                <w:highlight w:val="yellow"/>
              </w:rPr>
            </w:pPr>
            <w:r>
              <w:rPr>
                <w:highlight w:val="yellow"/>
              </w:rPr>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4.35 KL/million-INR</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Water intensity in terms of physical output</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Water intensity (optional) – the relevant metric may be selected by the entity</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bl>
    <w:p>
      <w:pPr>
        <w:pStyle w:val="Normal"/>
        <w:spacing w:before="0" w:after="12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3(b)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Note: Indicate if any independent assessment/ evaluation/assurance has been carried out by an external agency for liquid discharge?</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w:t>
            </w:r>
          </w:p>
        </w:tc>
      </w:tr>
    </w:tbl>
    <w:p>
      <w:pPr>
        <w:pStyle w:val="Normal"/>
        <w:spacing w:before="0" w:after="120"/>
        <w:rPr/>
      </w:pPr>
      <w:r>
        <w:rPr/>
      </w:r>
    </w:p>
    <w:p>
      <w:pPr>
        <w:pStyle w:val="Normal"/>
        <w:keepNext w:val="true"/>
        <w:keepLines/>
        <w:spacing w:lineRule="auto" w:line="276" w:before="160" w:after="80"/>
        <w:rPr/>
      </w:pPr>
      <w:r>
        <w:rPr>
          <w:b/>
          <w:bCs/>
        </w:rPr>
        <w:t>4(a). Provide the following details related to water discharged:</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bottom w:val="single" w:sz="4" w:space="0" w:color="000000"/>
              <w:right w:val="single" w:sz="4" w:space="0" w:color="000000"/>
            </w:tcBorders>
            <w:shd w:color="auto" w:fill="FFFFFF" w:val="clear"/>
            <w:vAlign w:val="center"/>
          </w:tcPr>
          <w:p>
            <w:pPr>
              <w:pStyle w:val="Normal"/>
              <w:widowControl w:val="false"/>
              <w:spacing w:lineRule="auto" w:line="264"/>
              <w:rPr/>
            </w:pPr>
            <w:r>
              <w:rPr>
                <w:b/>
                <w:bCs/>
              </w:rPr>
              <w:t xml:space="preserve"> </w:t>
            </w:r>
          </w:p>
        </w:tc>
        <w:tc>
          <w:tcPr>
            <w:tcW w:w="3868"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64"/>
              <w:jc w:val="center"/>
              <w:rPr/>
            </w:pPr>
            <w:r>
              <w:rPr>
                <w:b/>
                <w:bCs/>
              </w:rPr>
              <w:t>FY (2025-26)</w:t>
            </w:r>
          </w:p>
        </w:tc>
        <w:tc>
          <w:tcPr>
            <w:tcW w:w="3868" w:type="dxa"/>
            <w:tcBorders>
              <w:left w:val="single" w:sz="4" w:space="0" w:color="000000"/>
              <w:bottom w:val="single" w:sz="4" w:space="0" w:color="000000"/>
            </w:tcBorders>
            <w:shd w:color="auto" w:fill="FFFFFF" w:val="clear"/>
            <w:vAlign w:val="center"/>
          </w:tcPr>
          <w:p>
            <w:pPr>
              <w:pStyle w:val="Normal"/>
              <w:widowControl w:val="false"/>
              <w:spacing w:lineRule="auto" w:line="264"/>
              <w:jc w:val="center"/>
              <w:rPr/>
            </w:pPr>
            <w:r>
              <w:rPr>
                <w:b/>
                <w:bCs/>
              </w:rPr>
              <w:t>FY (2024-25)</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Water discharge by destination and level of treatment (in kilolitres)</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 </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 </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(i) To Surface water</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No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With treatment – please specify level of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(ii) To Groundwater</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No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With treatment – please specify level of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(iii) To Seawater</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No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With treatment – please specify level of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(iv) Sent to third-parties</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No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With treatment – please specify level of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(v) Others</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No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t>0</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t>0</w:t>
            </w:r>
          </w:p>
        </w:tc>
      </w:tr>
      <w:tr>
        <w:trPr/>
        <w:tc>
          <w:tcPr>
            <w:tcW w:w="2800" w:type="dxa"/>
            <w:tcBorders>
              <w:top w:val="single" w:sz="4" w:space="0" w:color="000000"/>
              <w:bottom w:val="single" w:sz="4" w:space="0" w:color="000000"/>
              <w:right w:val="single" w:sz="4" w:space="0" w:color="000000"/>
            </w:tcBorders>
          </w:tcPr>
          <w:p>
            <w:pPr>
              <w:pStyle w:val="Normal"/>
              <w:widowControl w:val="false"/>
              <w:spacing w:lineRule="auto" w:line="264"/>
              <w:rPr/>
            </w:pPr>
            <w:r>
              <w:rPr/>
              <w:t>With treatment – please specify level of treatment</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30384.16</w:t>
            </w:r>
          </w:p>
        </w:tc>
        <w:tc>
          <w:tcPr>
            <w:tcW w:w="3868" w:type="dxa"/>
            <w:tcBorders>
              <w:top w:val="single" w:sz="4" w:space="0" w:color="000000"/>
              <w:left w:val="single" w:sz="4" w:space="0" w:color="000000"/>
              <w:bottom w:val="single" w:sz="4" w:space="0" w:color="000000"/>
            </w:tcBorders>
            <w:vAlign w:val="bottom"/>
          </w:tcPr>
          <w:p>
            <w:pPr>
              <w:pStyle w:val="Normal"/>
              <w:widowControl w:val="false"/>
              <w:spacing w:lineRule="auto" w:line="264"/>
              <w:jc w:val="center"/>
              <w:rPr/>
            </w:pPr>
            <w:r>
              <w:rPr>
                <w:rFonts w:cs="Calibri" w:ascii="Calibri" w:hAnsi="Calibri"/>
                <w:sz w:val="22"/>
                <w:szCs w:val="22"/>
              </w:rPr>
              <w:t>31447</w:t>
            </w:r>
          </w:p>
        </w:tc>
      </w:tr>
      <w:tr>
        <w:trPr/>
        <w:tc>
          <w:tcPr>
            <w:tcW w:w="2800" w:type="dxa"/>
            <w:tcBorders>
              <w:top w:val="single" w:sz="4" w:space="0" w:color="000000"/>
              <w:right w:val="single" w:sz="4" w:space="0" w:color="000000"/>
            </w:tcBorders>
          </w:tcPr>
          <w:p>
            <w:pPr>
              <w:pStyle w:val="Normal"/>
              <w:widowControl w:val="false"/>
              <w:spacing w:lineRule="auto" w:line="264"/>
              <w:rPr/>
            </w:pPr>
            <w:r>
              <w:rPr/>
              <w:t>Total water discharged (in kilolitres)</w:t>
            </w:r>
          </w:p>
        </w:tc>
        <w:tc>
          <w:tcPr>
            <w:tcW w:w="3868" w:type="dxa"/>
            <w:tcBorders>
              <w:top w:val="single" w:sz="4" w:space="0" w:color="000000"/>
              <w:left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30384.16</w:t>
            </w:r>
          </w:p>
        </w:tc>
        <w:tc>
          <w:tcPr>
            <w:tcW w:w="3868" w:type="dxa"/>
            <w:tcBorders>
              <w:top w:val="single" w:sz="4" w:space="0" w:color="000000"/>
              <w:left w:val="single" w:sz="4" w:space="0" w:color="000000"/>
            </w:tcBorders>
            <w:vAlign w:val="bottom"/>
          </w:tcPr>
          <w:p>
            <w:pPr>
              <w:pStyle w:val="Normal"/>
              <w:widowControl w:val="false"/>
              <w:spacing w:lineRule="auto" w:line="264"/>
              <w:jc w:val="center"/>
              <w:rPr/>
            </w:pPr>
            <w:r>
              <w:rPr>
                <w:rFonts w:cs="Calibri" w:ascii="Calibri" w:hAnsi="Calibri"/>
                <w:sz w:val="22"/>
                <w:szCs w:val="22"/>
              </w:rPr>
              <w:t>31447</w:t>
            </w:r>
          </w:p>
        </w:tc>
      </w:tr>
    </w:tbl>
    <w:p>
      <w:pPr>
        <w:pStyle w:val="Normal"/>
        <w:spacing w:before="0" w:after="120"/>
        <w:rPr/>
      </w:pPr>
      <w:r>
        <w:rPr/>
      </w:r>
    </w:p>
    <w:p>
      <w:pPr>
        <w:pStyle w:val="Normal"/>
        <w:spacing w:lineRule="auto" w:line="264" w:before="80" w:after="120"/>
        <w:ind w:left="100" w:hanging="0"/>
        <w:rPr>
          <w:b/>
          <w:b/>
          <w:bCs/>
          <w:i/>
          <w:i/>
          <w:iCs/>
          <w:color w:val="666666"/>
          <w:sz w:val="18"/>
          <w:szCs w:val="18"/>
        </w:rPr>
      </w:pPr>
      <w:r>
        <w:rPr>
          <w:b/>
          <w:bCs/>
          <w:i/>
          <w:iCs/>
          <w:color w:val="666666"/>
          <w:sz w:val="18"/>
          <w:szCs w:val="18"/>
        </w:rPr>
        <w:t>Note: Tertiary treatment is done to waste water before discharge. 100 % treated water is utilized for the purpose of gardening within the company premises.</w:t>
      </w:r>
    </w:p>
    <w:p>
      <w:pPr>
        <w:pStyle w:val="Normal"/>
        <w:spacing w:lineRule="auto" w:line="264" w:before="80" w:after="120"/>
        <w:ind w:left="100" w:hanging="0"/>
        <w:rPr>
          <w:b/>
          <w:b/>
          <w:bCs/>
          <w:highlight w:val="yellow"/>
        </w:rPr>
      </w:pPr>
      <w:r>
        <w:rPr>
          <w:b/>
          <w:bCs/>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4(b)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Note: Indicate if any independent assessment/ evaluation/assurance has been carried out by an external agency for water discharge?(Y/N) If yes, name of the external agency.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5</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Has the entity implemented a mechanism for Zero Liquid Discharge? If yes, provide details of its coverage and implementation.</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Yes, Plant is zero liquid discharge. Waste water generated is treated in STP/ ETP plant and reused for gardening purpose within plant permises</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6(a). Please provide details of air emissions (other than GHG emissions) by the entity,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924"/>
        <w:gridCol w:w="3805"/>
        <w:gridCol w:w="2403"/>
        <w:gridCol w:w="2403"/>
      </w:tblGrid>
      <w:tr>
        <w:trPr>
          <w:tblHeader w:val="true"/>
        </w:trPr>
        <w:tc>
          <w:tcPr>
            <w:tcW w:w="1924"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80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Please specify unit</w:t>
            </w:r>
          </w:p>
        </w:tc>
        <w:tc>
          <w:tcPr>
            <w:tcW w:w="240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2403"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NOx</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PPM(v)</w:t>
            </w:r>
          </w:p>
        </w:tc>
        <w:tc>
          <w:tcPr>
            <w:tcW w:w="240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10264.44</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15723</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SOx</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PPM(v)</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3535.03</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3504</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Particulate matter (PM)</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mg/m3</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17659.44</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12535</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Persistent organic pollutants (POP)</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Volatile organic compounds (VOC)</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Hazardous air pollutants (HAP)</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Others – please specify</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Carbon Monoxide (CO)</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mg/m3</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3955.20</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3763</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Non-Methane Hydrocarbons</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mg/m3</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2.30</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1924" w:type="dxa"/>
            <w:tcBorders>
              <w:top w:val="single" w:sz="6" w:space="0" w:color="000000"/>
              <w:bottom w:val="single" w:sz="6" w:space="0" w:color="000000"/>
              <w:right w:val="single" w:sz="6" w:space="0" w:color="000000"/>
            </w:tcBorders>
          </w:tcPr>
          <w:p>
            <w:pPr>
              <w:pStyle w:val="Normal"/>
              <w:widowControl w:val="false"/>
              <w:spacing w:lineRule="auto" w:line="264"/>
              <w:rPr/>
            </w:pPr>
            <w:r>
              <w:rPr/>
              <w:t>Acid mist as HCL</w:t>
            </w:r>
          </w:p>
        </w:tc>
        <w:tc>
          <w:tcPr>
            <w:tcW w:w="38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mg/m3</w:t>
            </w:r>
          </w:p>
        </w:tc>
        <w:tc>
          <w:tcPr>
            <w:tcW w:w="2403"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347.10</w:t>
            </w:r>
          </w:p>
        </w:tc>
        <w:tc>
          <w:tcPr>
            <w:tcW w:w="240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bl>
    <w:p>
      <w:pPr>
        <w:pStyle w:val="Normal"/>
        <w:spacing w:before="0" w:after="120"/>
        <w:rPr/>
      </w:pPr>
      <w:r>
        <w:rPr/>
      </w:r>
    </w:p>
    <w:p>
      <w:pPr>
        <w:pStyle w:val="Normal"/>
        <w:spacing w:lineRule="auto" w:line="264" w:before="80" w:after="120"/>
        <w:ind w:left="100" w:hanging="0"/>
        <w:rPr>
          <w:highlight w:val="none"/>
          <w:shd w:fill="FFFFFF" w:val="clear"/>
        </w:rPr>
      </w:pPr>
      <w:r>
        <w:rPr>
          <w:i/>
          <w:iCs/>
          <w:color w:val="666666"/>
          <w:sz w:val="18"/>
          <w:szCs w:val="18"/>
          <w:shd w:fill="FFFFFF" w:val="clear"/>
        </w:rPr>
        <w:t>Note: The value is considered as summation for whole year from FY2025. The analysis and sampling methodology was revised from Jan 2025 with change in NABL accredited agency for sampling and monitoring</w:t>
      </w:r>
    </w:p>
    <w:p>
      <w:pPr>
        <w:pStyle w:val="Normal"/>
        <w:spacing w:lineRule="auto" w:line="264" w:before="80" w:after="120"/>
        <w:ind w:left="100" w:hanging="0"/>
        <w:rPr/>
      </w:pPr>
      <w:r>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6(b)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Note: Indicate if any independent assessment/ evaluation/assurance has been carried out by an external agency for GHG emissions? If yes, name of the external agency.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7(a). Provide details of greenhouse gas emissions (Scope 1 and Scope 2 emissions) &amp; its intensity,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1877"/>
        <w:gridCol w:w="2552"/>
        <w:gridCol w:w="3306"/>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87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Unit</w:t>
            </w:r>
          </w:p>
        </w:tc>
        <w:tc>
          <w:tcPr>
            <w:tcW w:w="255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3306"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Scope 1 emissions (Break-up of the GHG into CO2, CH4, N2O, HFCs, PFCs, SF6, NF3, if available)</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tCO2e</w:t>
            </w:r>
          </w:p>
        </w:tc>
        <w:tc>
          <w:tcPr>
            <w:tcW w:w="2552"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1577.641</w:t>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452.39</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Scope 2 emissions (Break-up of the GHG into CO2, CH4, N2O, HFCs, PFCs, SF6, NF3, if available)</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tCO2</w:t>
            </w:r>
          </w:p>
        </w:tc>
        <w:tc>
          <w:tcPr>
            <w:tcW w:w="2552"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2995.52</w:t>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1306.29</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Scope 1 and Scope 2 emissions per rupee of turnover (Total Scope 1 and Scope 2 GHG emissions / Revenue from operations)</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tCO2/millionINR</w:t>
            </w:r>
          </w:p>
        </w:tc>
        <w:tc>
          <w:tcPr>
            <w:tcW w:w="2552"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val="false"/>
              <w:spacing w:lineRule="auto" w:line="264"/>
              <w:jc w:val="center"/>
              <w:rPr>
                <w:highlight w:val="yellow"/>
              </w:rPr>
            </w:pPr>
            <w:r>
              <w:rPr>
                <w:highlight w:val="yellow"/>
              </w:rPr>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0.15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Scope 1 and Scope 2 emission intensity per rupee of turnover adjusted</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tCO2/millionINR</w:t>
            </w:r>
          </w:p>
        </w:tc>
        <w:tc>
          <w:tcPr>
            <w:tcW w:w="2552"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val="false"/>
              <w:spacing w:lineRule="auto" w:line="264"/>
              <w:jc w:val="center"/>
              <w:rPr>
                <w:highlight w:val="yellow"/>
              </w:rPr>
            </w:pPr>
            <w:r>
              <w:rPr>
                <w:highlight w:val="yellow"/>
              </w:rPr>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0.15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for Purchasing Power Parity (PPP) (Total Scope 1 and Scope 2 GHG emissions / Revenuefrom operations adjusted for PPP)</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tCO2/millionINR</w:t>
            </w:r>
          </w:p>
        </w:tc>
        <w:tc>
          <w:tcPr>
            <w:tcW w:w="2552"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val="false"/>
              <w:spacing w:lineRule="auto" w:line="264"/>
              <w:jc w:val="center"/>
              <w:rPr>
                <w:highlight w:val="yellow"/>
              </w:rPr>
            </w:pPr>
            <w:r>
              <w:rPr>
                <w:highlight w:val="yellow"/>
              </w:rPr>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0.15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Scope 1 and Scope 2 emission intensity in terms of physical output</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w:t>
            </w:r>
          </w:p>
        </w:tc>
        <w:tc>
          <w:tcPr>
            <w:tcW w:w="255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Scope 1 and Scope 2 emission intensity (optional)– the relevant metric may be selected by the entity</w:t>
            </w:r>
          </w:p>
        </w:tc>
        <w:tc>
          <w:tcPr>
            <w:tcW w:w="187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w:t>
            </w:r>
          </w:p>
        </w:tc>
        <w:tc>
          <w:tcPr>
            <w:tcW w:w="255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3306"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bl>
    <w:p>
      <w:pPr>
        <w:pStyle w:val="Normal"/>
        <w:spacing w:before="0" w:after="120"/>
        <w:rPr>
          <w:b/>
          <w:b/>
          <w:bCs/>
          <w:highlight w:val="yellow"/>
        </w:rPr>
      </w:pPr>
      <w:r>
        <w:rPr>
          <w:b/>
          <w:bCs/>
          <w:highlight w:val="yellow"/>
        </w:rPr>
      </w:r>
    </w:p>
    <w:p>
      <w:pPr>
        <w:pStyle w:val="Normal"/>
        <w:spacing w:lineRule="auto" w:line="264" w:before="80" w:after="120"/>
        <w:ind w:left="100" w:hanging="0"/>
        <w:rPr>
          <w:b/>
          <w:b/>
          <w:bCs/>
          <w:i/>
          <w:i/>
          <w:iCs/>
          <w:color w:val="666666"/>
          <w:sz w:val="18"/>
          <w:szCs w:val="18"/>
        </w:rPr>
      </w:pPr>
      <w:r>
        <w:rPr>
          <w:b/>
          <w:bCs/>
          <w:i/>
          <w:iCs/>
          <w:color w:val="666666"/>
          <w:sz w:val="18"/>
          <w:szCs w:val="18"/>
        </w:rPr>
        <w:t xml:space="preserve"> </w:t>
      </w:r>
      <w:r>
        <w:rPr>
          <w:b/>
          <w:bCs/>
          <w:i/>
          <w:iCs/>
          <w:color w:val="666666"/>
          <w:sz w:val="18"/>
          <w:szCs w:val="18"/>
        </w:rPr>
        <w:t>Note: The FY2024-25 scope 2 emissions includes electricity consumed by KIL sales offices.</w:t>
      </w:r>
    </w:p>
    <w:p>
      <w:pPr>
        <w:pStyle w:val="Normal"/>
        <w:spacing w:lineRule="auto" w:line="264" w:before="80" w:after="120"/>
        <w:ind w:left="100" w:hanging="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7(b)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Indicate if any independent assessment/ evaluation/assurance has been carried out by an external agency? (Y/N) If yes, name of the external agency.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8</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Does the entity have any project related to reducing Green House Gas emission? If Yes, then provide details.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Yes, KIL has increased the consumption of solar energy to reduce GHG emissions</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9(a). Provide details related to waste management by the entity,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3868"/>
        <w:gridCol w:w="3868"/>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8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386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Waste generated (in metric tonnes)</w:t>
            </w:r>
          </w:p>
        </w:tc>
        <w:tc>
          <w:tcPr>
            <w:tcW w:w="38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Plastic waste (A)</w:t>
            </w:r>
          </w:p>
        </w:tc>
        <w:tc>
          <w:tcPr>
            <w:tcW w:w="386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5.86</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4.51</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E-waste (B)</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3.07</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3.23</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Bio-medical waste (C)</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0.0018</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0.01</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Construction and demolition waste (D)</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Battery waste (E)</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3.42</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Radioactive waste (F)</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Other Hazardous waste. Please specify, if any. (G)</w:t>
            </w:r>
          </w:p>
        </w:tc>
        <w:tc>
          <w:tcPr>
            <w:tcW w:w="3868" w:type="dxa"/>
            <w:tcBorders>
              <w:left w:val="single" w:sz="4" w:space="0" w:color="000000"/>
              <w:bottom w:val="single" w:sz="4" w:space="0" w:color="000000"/>
              <w:right w:val="single" w:sz="4" w:space="0" w:color="000000"/>
            </w:tcBorders>
          </w:tcPr>
          <w:p>
            <w:pPr>
              <w:pStyle w:val="Normal"/>
              <w:widowControl w:val="false"/>
              <w:spacing w:lineRule="auto" w:line="264"/>
              <w:jc w:val="center"/>
              <w:rPr>
                <w:highlight w:val="yellow"/>
              </w:rPr>
            </w:pPr>
            <w:r>
              <w:rPr/>
              <w:t>424.999</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377.1</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Other Non-hazardous waste generated (H). Please specify, if any. (Break-up by composition i.e. by materials relevant to the sector)</w:t>
            </w:r>
          </w:p>
        </w:tc>
        <w:tc>
          <w:tcPr>
            <w:tcW w:w="3868" w:type="dxa"/>
            <w:tcBorders/>
          </w:tcPr>
          <w:p>
            <w:pPr>
              <w:pStyle w:val="Normal"/>
              <w:widowControl w:val="false"/>
              <w:spacing w:lineRule="auto" w:line="264"/>
              <w:jc w:val="center"/>
              <w:rPr>
                <w:highlight w:val="yellow"/>
              </w:rPr>
            </w:pPr>
            <w:r>
              <w:rPr/>
              <w:t>309.26</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285.98</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 (A+B + C + D + E + F + G + H)</w:t>
            </w:r>
          </w:p>
        </w:tc>
        <w:tc>
          <w:tcPr>
            <w:tcW w:w="38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jc w:val="center"/>
              <w:rPr/>
            </w:pPr>
            <w:r>
              <w:rPr/>
              <w:t>743.1908</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674.24</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Waste intensity per rupee of turnover (Total waste generated / Revenue from operations)</w:t>
            </w:r>
          </w:p>
        </w:tc>
        <w:tc>
          <w:tcPr>
            <w:tcW w:w="3868" w:type="dxa"/>
            <w:tcBorders>
              <w:left w:val="single" w:sz="4" w:space="0" w:color="000000"/>
              <w:bottom w:val="single" w:sz="4" w:space="0" w:color="000000"/>
              <w:right w:val="single" w:sz="4" w:space="0" w:color="000000"/>
            </w:tcBorders>
            <w:shd w:color="000000" w:fill="FFFF00" w:val="clear"/>
            <w:vAlign w:val="bottom"/>
          </w:tcPr>
          <w:p>
            <w:pPr>
              <w:pStyle w:val="Normal"/>
              <w:widowControl w:val="false"/>
              <w:spacing w:lineRule="auto" w:line="264"/>
              <w:jc w:val="center"/>
              <w:rPr/>
            </w:pPr>
            <w:r>
              <w:rPr>
                <w:rFonts w:cs="Calibri" w:ascii="Calibri" w:hAnsi="Calibri"/>
                <w:sz w:val="22"/>
                <w:szCs w:val="22"/>
              </w:rPr>
              <w:t> </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0.06 mt/million-INR</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Waste intensity per rupee of turnover adjusted for Purchasing Power Parity (PPP) (Total waste generated / Revenue from operations adjusted for PPP)</w:t>
            </w:r>
          </w:p>
        </w:tc>
        <w:tc>
          <w:tcPr>
            <w:tcW w:w="3868" w:type="dxa"/>
            <w:tcBorders>
              <w:left w:val="single" w:sz="4" w:space="0" w:color="000000"/>
              <w:bottom w:val="single" w:sz="4" w:space="0" w:color="000000"/>
              <w:right w:val="single" w:sz="4" w:space="0" w:color="000000"/>
            </w:tcBorders>
            <w:shd w:color="auto" w:fill="FFFF00" w:val="clear"/>
            <w:vAlign w:val="bottom"/>
          </w:tcPr>
          <w:p>
            <w:pPr>
              <w:pStyle w:val="Normal"/>
              <w:widowControl w:val="false"/>
              <w:spacing w:lineRule="auto" w:line="264"/>
              <w:jc w:val="center"/>
              <w:rPr/>
            </w:pPr>
            <w:r>
              <w:rPr/>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0.06 mt/million-INR</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Waste intensity in terms of physical output</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 </w:t>
            </w:r>
            <w:r>
              <w:rPr>
                <w:rFonts w:cs="Calibri" w:ascii="Calibri" w:hAnsi="Calibri"/>
                <w:sz w:val="22"/>
                <w:szCs w:val="22"/>
              </w:rPr>
              <w:t>NA</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Waste intensity (optional) – the relevant metric may be selected by the entity</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NA</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For each category of waste generated, total waste recovered through recycling, re-using or other recovery operations (in metric tonnes)</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 </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Category of waste</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 </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 Recycled</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464.02</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374.86</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 Re-used</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198.67</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252.45</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(iii) Other recovery operations</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48.13</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46.93</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710.82</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674.24</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For each category of waste generated, total waste disposed by nature of disposal method (in metric tonnes)</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 </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Category of waste</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 </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 Incineration</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0.0018</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0.01</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 Landfilling</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(iii) Other disposal operations</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Total</w:t>
            </w:r>
          </w:p>
        </w:tc>
        <w:tc>
          <w:tcPr>
            <w:tcW w:w="3868" w:type="dxa"/>
            <w:tcBorders>
              <w:left w:val="single" w:sz="4" w:space="0" w:color="000000"/>
              <w:bottom w:val="single" w:sz="4" w:space="0" w:color="000000"/>
              <w:right w:val="single" w:sz="4" w:space="0" w:color="000000"/>
            </w:tcBorders>
            <w:vAlign w:val="bottom"/>
          </w:tcPr>
          <w:p>
            <w:pPr>
              <w:pStyle w:val="Normal"/>
              <w:widowControl w:val="false"/>
              <w:spacing w:lineRule="auto" w:line="264"/>
              <w:jc w:val="center"/>
              <w:rPr/>
            </w:pPr>
            <w:r>
              <w:rPr>
                <w:rFonts w:cs="Calibri" w:ascii="Calibri" w:hAnsi="Calibri"/>
                <w:sz w:val="22"/>
                <w:szCs w:val="22"/>
              </w:rPr>
              <w:t>0.0018</w:t>
            </w:r>
          </w:p>
        </w:tc>
        <w:tc>
          <w:tcPr>
            <w:tcW w:w="3868"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0.01</w:t>
            </w:r>
          </w:p>
        </w:tc>
      </w:tr>
    </w:tbl>
    <w:p>
      <w:pPr>
        <w:pStyle w:val="Normal"/>
        <w:spacing w:before="0" w:after="12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9(b)</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Indicate if any independent assessment/ evaluation/assurance has been carried out by an external agency? (Y/N) If yes, name of the external agency.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10</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Briefly describe the waste management practices adopted in your establishments. Describe the strategy adopted by your company to reduce usage of hazardous and toxic chemicals in your products and processes and the practices adopted to manage such wastes.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jc w:val="both"/>
              <w:rPr/>
            </w:pPr>
            <w:r>
              <w:rPr/>
              <w:t>"Waste generated from the process is stored at the plant in the separate storage area. Hazardous Waste and Non-Hazardous Waste are segregated at the source itself. The Hazardous Waste is further segre gated based on the Hazardous Waste Category. Once a day, the hazardous waste is moved to the Cen tral Hazardous Waste storage area with a slip indicating the date of generation, quantity, etc. The stor age inventory is updated. Within 90 days of arrival, the waste is disposed of to the KSPCB approved vendor by managing the online e-manifest.  The general Waste (Non-Hazardous) is shifted to the central waste storage area on daily basis. This includes paper, plastics, metals, etc. which is sold to authorized vendors on a periodic basis based on the load. A new scrap yard has been constructed for systematic storage of waste with modern day design as well as compliance with required norms. KIL puts continuous efforts in identifying such process(es) and works on substitution by introducing an alternative process which is less hazardous and toxic in nature, which will eventually reduce the exposure to our employees. The team has introduced a sustainable process to recover tungsten from carbide grinding sludge, enabling over 50% tungsten recovery, reducing raw material dependency, en</w:t>
            </w:r>
          </w:p>
          <w:p>
            <w:pPr>
              <w:pStyle w:val="Normal"/>
              <w:widowControl w:val="false"/>
              <w:spacing w:lineRule="auto" w:line="264"/>
              <w:rPr/>
            </w:pPr>
            <w:r>
              <w:rPr/>
              <w:t>hancing supply chain resilience and generating significant savings."</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11. If the entity has operations/offices in/around ecologically sensitive areas (such as national parks, wildlife sanctuaries, biosphere reserves, wetlands, biodiversity hotspots, forests, coastal regulation zones etc.) where environmental approvals / clearances are required, Please specify details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21"/>
        <w:gridCol w:w="1693"/>
        <w:gridCol w:w="3010"/>
        <w:gridCol w:w="3011"/>
      </w:tblGrid>
      <w:tr>
        <w:trPr>
          <w:tblHeader w:val="true"/>
        </w:trPr>
        <w:tc>
          <w:tcPr>
            <w:tcW w:w="2821"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Location of operations/offices</w:t>
            </w:r>
          </w:p>
        </w:tc>
        <w:tc>
          <w:tcPr>
            <w:tcW w:w="169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Type of operations</w:t>
            </w:r>
          </w:p>
        </w:tc>
        <w:tc>
          <w:tcPr>
            <w:tcW w:w="301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Whether the conditions of environmental approval / clearance are being complied with?</w:t>
            </w:r>
          </w:p>
        </w:tc>
        <w:tc>
          <w:tcPr>
            <w:tcW w:w="3011"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If no, the reasons thereof and corrective action taken, if any.</w:t>
            </w:r>
          </w:p>
        </w:tc>
      </w:tr>
      <w:tr>
        <w:trPr/>
        <w:tc>
          <w:tcPr>
            <w:tcW w:w="2821" w:type="dxa"/>
            <w:tcBorders>
              <w:top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69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301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3011"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12. Details of environmental impact assessments of projects undertaken by the entity based on applicable laws, in the current financial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133"/>
        <w:gridCol w:w="1335"/>
        <w:gridCol w:w="933"/>
        <w:gridCol w:w="2134"/>
        <w:gridCol w:w="2135"/>
        <w:gridCol w:w="1865"/>
      </w:tblGrid>
      <w:tr>
        <w:trPr>
          <w:tblHeader w:val="true"/>
        </w:trPr>
        <w:tc>
          <w:tcPr>
            <w:tcW w:w="2133"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and brief details of project</w:t>
            </w:r>
          </w:p>
        </w:tc>
        <w:tc>
          <w:tcPr>
            <w:tcW w:w="133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EIA Notification No.</w:t>
            </w:r>
          </w:p>
        </w:tc>
        <w:tc>
          <w:tcPr>
            <w:tcW w:w="93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Date</w:t>
            </w:r>
          </w:p>
        </w:tc>
        <w:tc>
          <w:tcPr>
            <w:tcW w:w="213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Whether conducted by independent external agency (Yes / No)</w:t>
            </w:r>
          </w:p>
        </w:tc>
        <w:tc>
          <w:tcPr>
            <w:tcW w:w="213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Results communicated in public domain (Yes / No)</w:t>
            </w:r>
          </w:p>
        </w:tc>
        <w:tc>
          <w:tcPr>
            <w:tcW w:w="186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Relevant Web link</w:t>
            </w:r>
          </w:p>
        </w:tc>
      </w:tr>
      <w:tr>
        <w:trPr/>
        <w:tc>
          <w:tcPr>
            <w:tcW w:w="2133" w:type="dxa"/>
            <w:tcBorders>
              <w:top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33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93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13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865"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13(a)</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Is the entity compliant with the applicable environmental law/ regulations/ guidelines in India; such as the Water (Prevention and Control of Pollution) Act, Air (Prevention and Control of Pollution) Act, Environment protection act and rules thereunder?</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before="0" w:after="60"/>
              <w:rPr/>
            </w:pPr>
            <w:r>
              <w:rPr/>
              <w:t>Yes, We are compliant with the applicable environmental laws</w:t>
            </w:r>
          </w:p>
          <w:p>
            <w:pPr>
              <w:pStyle w:val="Normal"/>
              <w:widowControl w:val="false"/>
              <w:spacing w:lineRule="auto" w:line="264"/>
              <w:rPr/>
            </w:pPr>
            <w:r>
              <w:rPr/>
              <w:t>Note: All environment laws and regulations are complied</w:t>
            </w:r>
          </w:p>
        </w:tc>
      </w:tr>
    </w:tbl>
    <w:p>
      <w:pPr>
        <w:pStyle w:val="Normal"/>
        <w:spacing w:before="0" w:after="120"/>
        <w:rPr/>
      </w:pPr>
      <w:r>
        <w:rPr/>
      </w:r>
    </w:p>
    <w:p>
      <w:pPr>
        <w:pStyle w:val="Normal"/>
        <w:keepNext w:val="true"/>
        <w:keepLines/>
        <w:spacing w:lineRule="auto" w:line="276" w:before="160" w:after="80"/>
        <w:rPr/>
      </w:pPr>
      <w:r>
        <w:rPr>
          <w:b/>
          <w:bCs/>
        </w:rPr>
        <w:t>13(b). Provide details of all such non-compliances,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655"/>
        <w:gridCol w:w="2655"/>
        <w:gridCol w:w="2655"/>
        <w:gridCol w:w="2570"/>
      </w:tblGrid>
      <w:tr>
        <w:trPr>
          <w:tblHeader w:val="true"/>
        </w:trPr>
        <w:tc>
          <w:tcPr>
            <w:tcW w:w="2655"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Specify the law/regulation/ guidelines which was not complied with</w:t>
            </w:r>
          </w:p>
        </w:tc>
        <w:tc>
          <w:tcPr>
            <w:tcW w:w="265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Provide details of the non- compliance</w:t>
            </w:r>
          </w:p>
        </w:tc>
        <w:tc>
          <w:tcPr>
            <w:tcW w:w="265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Any fines / penalties / action taken by regulatory agencies such as pollution control boards or by courts</w:t>
            </w:r>
          </w:p>
        </w:tc>
        <w:tc>
          <w:tcPr>
            <w:tcW w:w="2570"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Corrective action taken, if any</w:t>
            </w:r>
          </w:p>
        </w:tc>
      </w:tr>
      <w:tr>
        <w:trPr/>
        <w:tc>
          <w:tcPr>
            <w:tcW w:w="2655"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t>Not Applicable</w:t>
            </w:r>
          </w:p>
        </w:tc>
        <w:tc>
          <w:tcPr>
            <w:tcW w:w="26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6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570"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7</w:t>
      </w:r>
    </w:p>
    <w:p>
      <w:pPr>
        <w:pStyle w:val="Normal"/>
        <w:keepNext w:val="true"/>
        <w:keepLines/>
        <w:pBdr>
          <w:bottom w:val="single" w:sz="4" w:space="4" w:color="E5E5E5"/>
        </w:pBdr>
        <w:spacing w:lineRule="auto" w:line="276" w:before="200" w:after="140"/>
        <w:rPr/>
      </w:pPr>
      <w:r>
        <w:rPr>
          <w:b/>
          <w:bCs/>
        </w:rPr>
        <w:t>Essential Indicators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1(a)</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Number of affiliations with trade and industry chambers/ associations.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Fifteen afﬁliations are present as of now.</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1(b). List the top 10 trade and industry chambers/ associations (determined based on the total members of such body) the entity is a member of/ affiliated to</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5268"/>
        <w:gridCol w:w="5267"/>
      </w:tblGrid>
      <w:tr>
        <w:trPr>
          <w:tblHeader w:val="true"/>
        </w:trPr>
        <w:tc>
          <w:tcPr>
            <w:tcW w:w="5268"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of the trade and industry chambers/ associations</w:t>
            </w:r>
          </w:p>
        </w:tc>
        <w:tc>
          <w:tcPr>
            <w:tcW w:w="5267"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Reach of trade and industry chambers/ associations (State/National/International)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Confederation of Indian Industry (CII)</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Confederation of Indian Industry -Indian Women Network (CII-IWN)</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Indian Valve and Actuator Manufacturers Association (IVAMA)</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Indian Machine Tool Manufacturers' Association (IMTMA)</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Indian Cutting Tools Manufacturers' Association (ICTMA)</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Indian Construction Equipment Manufacturers' Association (ICEMA)</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Automotive Component Manufacturers Association of India (ACMA)</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National Institute of Personnel Management (NIPM)</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Society of Indian Automobile Manufacturers (SIAM)</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r>
        <w:trPr/>
        <w:tc>
          <w:tcPr>
            <w:tcW w:w="5268" w:type="dxa"/>
            <w:tcBorders>
              <w:top w:val="single" w:sz="6" w:space="0" w:color="000000"/>
              <w:bottom w:val="single" w:sz="6" w:space="0" w:color="000000"/>
              <w:right w:val="single" w:sz="6" w:space="0" w:color="000000"/>
            </w:tcBorders>
          </w:tcPr>
          <w:p>
            <w:pPr>
              <w:pStyle w:val="Normal"/>
              <w:widowControl w:val="false"/>
              <w:spacing w:lineRule="auto" w:line="264"/>
              <w:rPr/>
            </w:pPr>
            <w:r>
              <w:rPr/>
              <w:t>Institute of Directors (IOD)</w:t>
            </w:r>
          </w:p>
        </w:tc>
        <w:tc>
          <w:tcPr>
            <w:tcW w:w="5267" w:type="dxa"/>
            <w:tcBorders>
              <w:top w:val="single" w:sz="6" w:space="0" w:color="000000"/>
              <w:left w:val="single" w:sz="6" w:space="0" w:color="000000"/>
              <w:bottom w:val="single" w:sz="6" w:space="0" w:color="000000"/>
            </w:tcBorders>
          </w:tcPr>
          <w:p>
            <w:pPr>
              <w:pStyle w:val="Normal"/>
              <w:widowControl w:val="false"/>
              <w:spacing w:lineRule="auto" w:line="264"/>
              <w:rPr/>
            </w:pPr>
            <w:r>
              <w:rPr/>
              <w:t>National</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 Provide details of corrective action taken or underway on any issues related to anti- competitive conduct by the entity, based on adverse orders from regulatory authorities.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3141"/>
        <w:gridCol w:w="3142"/>
        <w:gridCol w:w="4253"/>
      </w:tblGrid>
      <w:tr>
        <w:trPr>
          <w:tblHeader w:val="true"/>
        </w:trPr>
        <w:tc>
          <w:tcPr>
            <w:tcW w:w="3141"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of authority</w:t>
            </w:r>
          </w:p>
        </w:tc>
        <w:tc>
          <w:tcPr>
            <w:tcW w:w="314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Brief of the case</w:t>
            </w:r>
          </w:p>
        </w:tc>
        <w:tc>
          <w:tcPr>
            <w:tcW w:w="4253"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Corrective action taken</w:t>
            </w:r>
          </w:p>
        </w:tc>
      </w:tr>
      <w:tr>
        <w:trPr/>
        <w:tc>
          <w:tcPr>
            <w:tcW w:w="3141" w:type="dxa"/>
            <w:tcBorders>
              <w:top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314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4253"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pPr>
      <w:r>
        <w:rPr/>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8</w:t>
      </w:r>
    </w:p>
    <w:p>
      <w:pPr>
        <w:pStyle w:val="Normal"/>
        <w:keepNext w:val="true"/>
        <w:keepLines/>
        <w:pBdr>
          <w:bottom w:val="single" w:sz="4" w:space="4" w:color="E5E5E5"/>
        </w:pBdr>
        <w:spacing w:lineRule="auto" w:line="276" w:before="200" w:after="140"/>
        <w:rPr/>
      </w:pPr>
      <w:r>
        <w:rPr>
          <w:b/>
          <w:bCs/>
        </w:rPr>
        <w:t>Essential Indicators</w:t>
      </w:r>
    </w:p>
    <w:p>
      <w:pPr>
        <w:pStyle w:val="Normal"/>
        <w:keepNext w:val="true"/>
        <w:keepLines/>
        <w:spacing w:lineRule="auto" w:line="276" w:before="160" w:after="80"/>
        <w:rPr/>
      </w:pPr>
      <w:r>
        <w:rPr>
          <w:b/>
          <w:bCs/>
        </w:rPr>
        <w:t>1. Details of Social Impact Assessments (SIA) of projects undertaken by the entity based on applicable laws, in the current financial year.</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055"/>
        <w:gridCol w:w="1285"/>
        <w:gridCol w:w="1286"/>
        <w:gridCol w:w="2055"/>
        <w:gridCol w:w="2056"/>
        <w:gridCol w:w="1798"/>
      </w:tblGrid>
      <w:tr>
        <w:trPr>
          <w:tblHeader w:val="true"/>
        </w:trPr>
        <w:tc>
          <w:tcPr>
            <w:tcW w:w="2055"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and brief details of project</w:t>
            </w:r>
          </w:p>
        </w:tc>
        <w:tc>
          <w:tcPr>
            <w:tcW w:w="128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SIA Notification No.</w:t>
            </w:r>
          </w:p>
        </w:tc>
        <w:tc>
          <w:tcPr>
            <w:tcW w:w="128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Date of notification</w:t>
            </w:r>
          </w:p>
        </w:tc>
        <w:tc>
          <w:tcPr>
            <w:tcW w:w="205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Whether conducted by independent external agency</w:t>
            </w:r>
          </w:p>
        </w:tc>
        <w:tc>
          <w:tcPr>
            <w:tcW w:w="2056"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Results communicated in public domain</w:t>
            </w:r>
          </w:p>
        </w:tc>
        <w:tc>
          <w:tcPr>
            <w:tcW w:w="1798"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Relevant Web link</w:t>
            </w:r>
          </w:p>
        </w:tc>
      </w:tr>
      <w:tr>
        <w:trPr/>
        <w:tc>
          <w:tcPr>
            <w:tcW w:w="2055" w:type="dxa"/>
            <w:tcBorders>
              <w:top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28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28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0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05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798"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2. Provide information on project(s) for which ongoing Rehabilitation and Resettlement (R&amp;R) is being undertaken by your entity, in the following format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443"/>
        <w:gridCol w:w="1068"/>
        <w:gridCol w:w="1070"/>
        <w:gridCol w:w="2443"/>
        <w:gridCol w:w="1068"/>
        <w:gridCol w:w="2443"/>
      </w:tblGrid>
      <w:tr>
        <w:trPr>
          <w:tblHeader w:val="true"/>
        </w:trPr>
        <w:tc>
          <w:tcPr>
            <w:tcW w:w="2443"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Name of Project for which R&amp;R is ongoing</w:t>
            </w:r>
          </w:p>
        </w:tc>
        <w:tc>
          <w:tcPr>
            <w:tcW w:w="10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State</w:t>
            </w:r>
          </w:p>
        </w:tc>
        <w:tc>
          <w:tcPr>
            <w:tcW w:w="107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District</w:t>
            </w:r>
          </w:p>
        </w:tc>
        <w:tc>
          <w:tcPr>
            <w:tcW w:w="2443"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No. of Project Affected Families (PAFs)</w:t>
            </w:r>
          </w:p>
        </w:tc>
        <w:tc>
          <w:tcPr>
            <w:tcW w:w="106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of PAFs covered by R&amp;R</w:t>
            </w:r>
          </w:p>
        </w:tc>
        <w:tc>
          <w:tcPr>
            <w:tcW w:w="2443"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Amounts paid to PAFs in the FY (In INR)</w:t>
            </w:r>
          </w:p>
        </w:tc>
      </w:tr>
      <w:tr>
        <w:trPr/>
        <w:tc>
          <w:tcPr>
            <w:tcW w:w="2443" w:type="dxa"/>
            <w:tcBorders>
              <w:top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0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07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244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t>Not Applicable</w:t>
            </w:r>
          </w:p>
        </w:tc>
        <w:tc>
          <w:tcPr>
            <w:tcW w:w="106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Not Applicable</w:t>
            </w:r>
          </w:p>
        </w:tc>
        <w:tc>
          <w:tcPr>
            <w:tcW w:w="2443"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Not Applicable</w:t>
            </w:r>
          </w:p>
        </w:tc>
      </w:tr>
    </w:tbl>
    <w:p>
      <w:pPr>
        <w:pStyle w:val="Normal"/>
        <w:spacing w:before="0" w:after="12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3</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Describe the mechanisms to receive and redress grievances of the community.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jc w:val="both"/>
              <w:rPr>
                <w:highlight w:val="yellow"/>
              </w:rPr>
            </w:pPr>
            <w:r>
              <w:rPr/>
              <w:t>KIL has set up a mechanism to address grievance/concerns related to community, which has been detailed in the policy on redressal of Stakeholders' Grievances. All the stakeholders of KIL can share their concerns initially to their points of contacts at KIL, and if dissatisﬁed with the grievance redressed at this stage, the employees are encouraged to write in detail about their grievance to the grievance redressal ofﬁcer at anupriya.garg@kennametal.com. Within 30 days of the receipt of the grievance, the ofﬁcer shall ensure due resolution of the said grievance. In the event the resolution is taking longer than the assigned time of 30 days, the ofﬁcer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4. Percentage of input material (inputs to total inputs by value) sourced from suppliers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420"/>
        <w:gridCol w:w="4057"/>
        <w:gridCol w:w="4059"/>
      </w:tblGrid>
      <w:tr>
        <w:trPr>
          <w:tblHeader w:val="true"/>
        </w:trPr>
        <w:tc>
          <w:tcPr>
            <w:tcW w:w="242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405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4059"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2420" w:type="dxa"/>
            <w:tcBorders>
              <w:top w:val="single" w:sz="6" w:space="0" w:color="000000"/>
              <w:bottom w:val="single" w:sz="6" w:space="0" w:color="000000"/>
              <w:right w:val="single" w:sz="6" w:space="0" w:color="000000"/>
            </w:tcBorders>
          </w:tcPr>
          <w:p>
            <w:pPr>
              <w:pStyle w:val="Normal"/>
              <w:widowControl w:val="false"/>
              <w:spacing w:lineRule="auto" w:line="264"/>
              <w:rPr/>
            </w:pPr>
            <w:r>
              <w:rPr/>
              <w:t>Directly sourced from MSMEs/ small producers</w:t>
            </w:r>
          </w:p>
        </w:tc>
        <w:tc>
          <w:tcPr>
            <w:tcW w:w="40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15%</w:t>
            </w:r>
          </w:p>
        </w:tc>
        <w:tc>
          <w:tcPr>
            <w:tcW w:w="405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9%</w:t>
            </w:r>
          </w:p>
        </w:tc>
      </w:tr>
      <w:tr>
        <w:trPr/>
        <w:tc>
          <w:tcPr>
            <w:tcW w:w="2420" w:type="dxa"/>
            <w:tcBorders>
              <w:top w:val="single" w:sz="6" w:space="0" w:color="000000"/>
              <w:bottom w:val="single" w:sz="6" w:space="0" w:color="000000"/>
              <w:right w:val="single" w:sz="6" w:space="0" w:color="000000"/>
            </w:tcBorders>
          </w:tcPr>
          <w:p>
            <w:pPr>
              <w:pStyle w:val="Normal"/>
              <w:widowControl w:val="false"/>
              <w:spacing w:lineRule="auto" w:line="264"/>
              <w:rPr/>
            </w:pPr>
            <w:r>
              <w:rPr/>
              <w:t>Directly from within India</w:t>
            </w:r>
          </w:p>
        </w:tc>
        <w:tc>
          <w:tcPr>
            <w:tcW w:w="40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36%</w:t>
            </w:r>
          </w:p>
        </w:tc>
        <w:tc>
          <w:tcPr>
            <w:tcW w:w="405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45%</w:t>
            </w:r>
          </w:p>
        </w:tc>
      </w:tr>
    </w:tbl>
    <w:p>
      <w:pPr>
        <w:pStyle w:val="Normal"/>
        <w:spacing w:before="0" w:after="120"/>
        <w:rPr>
          <w:highlight w:val="yellow"/>
        </w:rPr>
      </w:pPr>
      <w:r>
        <w:rPr>
          <w:highlight w:val="yellow"/>
        </w:rPr>
      </w:r>
    </w:p>
    <w:p>
      <w:pPr>
        <w:pStyle w:val="Normal"/>
        <w:spacing w:lineRule="auto" w:line="264" w:before="80" w:after="120"/>
        <w:ind w:left="100" w:hanging="0"/>
        <w:rPr>
          <w:i/>
          <w:i/>
          <w:iCs/>
          <w:color w:val="666666"/>
          <w:sz w:val="18"/>
          <w:szCs w:val="18"/>
        </w:rPr>
      </w:pPr>
      <w:r>
        <w:rPr>
          <w:i/>
          <w:iCs/>
          <w:color w:val="666666"/>
          <w:sz w:val="18"/>
          <w:szCs w:val="18"/>
        </w:rPr>
        <w:t>Note: As per purchase register.</w:t>
      </w:r>
    </w:p>
    <w:p>
      <w:pPr>
        <w:pStyle w:val="Normal"/>
        <w:spacing w:lineRule="auto" w:line="264" w:before="80" w:after="120"/>
        <w:ind w:left="100" w:hanging="0"/>
        <w:rPr/>
      </w:pPr>
      <w:r>
        <w:rPr/>
      </w:r>
    </w:p>
    <w:p>
      <w:pPr>
        <w:pStyle w:val="Normal"/>
        <w:keepNext w:val="true"/>
        <w:keepLines/>
        <w:spacing w:lineRule="auto" w:line="276" w:before="160" w:after="80"/>
        <w:rPr/>
      </w:pPr>
      <w:r>
        <w:rPr>
          <w:b/>
          <w:bCs/>
        </w:rPr>
        <w:t>5. Job creation in smaller towns – Disclose wages paid to persons employed (including employees or workers employed on a permanent or non-permanent / on contract basis) in the following locations, as % of total wage cost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4667"/>
        <w:gridCol w:w="4669"/>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466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FY (2025-26)</w:t>
            </w:r>
          </w:p>
        </w:tc>
        <w:tc>
          <w:tcPr>
            <w:tcW w:w="4669"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FY (2024-25)</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Rural</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Semi-urban</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Urban</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Metropolitan</w:t>
            </w:r>
          </w:p>
        </w:tc>
        <w:tc>
          <w:tcPr>
            <w:tcW w:w="46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100%</w:t>
            </w:r>
          </w:p>
        </w:tc>
        <w:tc>
          <w:tcPr>
            <w:tcW w:w="4669"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100%</w:t>
            </w:r>
          </w:p>
        </w:tc>
      </w:tr>
    </w:tbl>
    <w:p>
      <w:pPr>
        <w:pStyle w:val="Normal"/>
        <w:spacing w:before="0" w:after="120"/>
        <w:rPr>
          <w:highlight w:val="yellow"/>
        </w:rPr>
      </w:pPr>
      <w:r>
        <w:rPr>
          <w:highlight w:val="yellow"/>
        </w:rPr>
      </w:r>
    </w:p>
    <w:p>
      <w:pPr>
        <w:pStyle w:val="Normal"/>
        <w:spacing w:before="0" w:after="160"/>
        <w:rPr>
          <w:highlight w:val="yellow"/>
        </w:rPr>
      </w:pPr>
      <w:r>
        <w:rPr>
          <w:highlight w:val="yellow"/>
        </w:rPr>
      </w:r>
    </w:p>
    <w:p>
      <w:pPr>
        <w:pStyle w:val="Normal"/>
        <w:keepNext w:val="true"/>
        <w:keepLines/>
        <w:shd w:val="clear" w:color="auto" w:fill="F7F7F7"/>
        <w:spacing w:before="200" w:after="180"/>
        <w:ind w:left="100" w:hanging="0"/>
        <w:rPr/>
      </w:pPr>
      <w:r>
        <w:rPr>
          <w:b/>
          <w:bCs/>
          <w:sz w:val="24"/>
          <w:szCs w:val="24"/>
        </w:rPr>
        <w:t>PRINCIPLE 9</w:t>
      </w:r>
    </w:p>
    <w:p>
      <w:pPr>
        <w:pStyle w:val="Normal"/>
        <w:keepNext w:val="true"/>
        <w:keepLines/>
        <w:pBdr>
          <w:bottom w:val="single" w:sz="4" w:space="4" w:color="E5E5E5"/>
        </w:pBdr>
        <w:spacing w:lineRule="auto" w:line="276" w:before="200" w:after="140"/>
        <w:rPr/>
      </w:pPr>
      <w:r>
        <w:rPr>
          <w:b/>
          <w:bCs/>
        </w:rPr>
        <w:t>Essential Indicators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1</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Describe the mechanisms in place to receive and respond to consumer complaints and feedback.</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jc w:val="both"/>
              <w:rPr/>
            </w:pPr>
            <w:r>
              <w:rPr/>
              <w:t>At KIL with B2B model, customer complaints are received by sales engineers, the same is updated in Customer Complaint Information Form (CCIF) and shared to head office. Kennametals Customer Experience Centre (CEC) team raises the complaint in SAP CRM portal using CCIF data. The manufacturing complaints are daily reviewed with quality clinic approach &amp; cause analysis done using 8D methodology. Quality clinic is a concept which was developed and initiated to enhance the speed of response to customer considering the improvement opportunities identified in the earlier approach with weekly Cross Functional Team (CFT) calls. Quality clinic mainly revolves around seven elements namely physical location, visuals, daily review, response, defined flow, inspection setup and people. This focused one cell approach is implemented to assure the first response within 24 hours. Immediate analysis is completed within 2 days and complaint resolution with complete update within 15 days of average time. It is a single front end for handling complaints of all Bengaluru plant, with daily summary provided to the business team. Quality clinic daily handles the open complaints, reasons and actions with ageing track, proactive customer connect is the highlight of this new approach which builds the relationship with customer technical team.</w:t>
            </w:r>
          </w:p>
        </w:tc>
      </w:tr>
    </w:tbl>
    <w:p>
      <w:pPr>
        <w:pStyle w:val="Normal"/>
        <w:spacing w:before="0" w:after="120"/>
        <w:rPr>
          <w:highlight w:val="yellow"/>
        </w:rPr>
      </w:pPr>
      <w:r>
        <w:rPr>
          <w:highlight w:val="yellow"/>
        </w:rPr>
      </w:r>
    </w:p>
    <w:p>
      <w:pPr>
        <w:pStyle w:val="Normal"/>
        <w:keepNext w:val="true"/>
        <w:keepLines/>
        <w:spacing w:lineRule="auto" w:line="276" w:before="160" w:after="80"/>
        <w:rPr>
          <w:highlight w:val="none"/>
          <w:shd w:fill="FFFFFF" w:val="clear"/>
        </w:rPr>
      </w:pPr>
      <w:r>
        <w:rPr>
          <w:b/>
          <w:bCs/>
          <w:shd w:fill="FFFFFF" w:val="clear"/>
        </w:rPr>
        <w:t>2. Turnover of products and/ services as a percentage of turnover from all products/service that carry information about:</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7735"/>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highlight w:val="yellow"/>
              </w:rPr>
            </w:pPr>
            <w:r>
              <w:rPr>
                <w:b/>
                <w:bCs/>
                <w:highlight w:val="yellow"/>
              </w:rPr>
              <w:t xml:space="preserve"> </w:t>
            </w:r>
          </w:p>
        </w:tc>
        <w:tc>
          <w:tcPr>
            <w:tcW w:w="773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highlight w:val="none"/>
                <w:shd w:fill="FFFFFF" w:val="clear"/>
              </w:rPr>
            </w:pPr>
            <w:r>
              <w:rPr>
                <w:b/>
                <w:bCs/>
                <w:shd w:fill="FFFFFF" w:val="clear"/>
              </w:rPr>
              <w:t>As a percentage to total turnover</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highlight w:val="none"/>
                <w:shd w:fill="FFFFFF" w:val="clear"/>
              </w:rPr>
            </w:pPr>
            <w:r>
              <w:rPr>
                <w:shd w:fill="FFFFFF" w:val="clear"/>
              </w:rPr>
              <w:t>Environmental and social parameters relevant to the product</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none"/>
                <w:shd w:fill="FFFFFF" w:val="clear"/>
              </w:rPr>
            </w:pPr>
            <w:r>
              <w:rPr>
                <w:shd w:fill="FFFFFF" w:val="clear"/>
              </w:rPr>
              <w:t>100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highlight w:val="none"/>
                <w:shd w:fill="FFFFFF" w:val="clear"/>
              </w:rPr>
            </w:pPr>
            <w:r>
              <w:rPr>
                <w:shd w:fill="FFFFFF" w:val="clear"/>
              </w:rPr>
              <w:t>Safe and responsible usage</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none"/>
                <w:shd w:fill="FFFFFF" w:val="clear"/>
              </w:rPr>
            </w:pPr>
            <w:r>
              <w:rPr>
                <w:shd w:fill="FFFFFF" w:val="clear"/>
              </w:rPr>
              <w:t>100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highlight w:val="none"/>
                <w:shd w:fill="FFFFFF" w:val="clear"/>
              </w:rPr>
            </w:pPr>
            <w:r>
              <w:rPr>
                <w:shd w:fill="FFFFFF" w:val="clear"/>
              </w:rPr>
              <w:t>Recycling and/or safe disposal</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jc w:val="center"/>
              <w:rPr>
                <w:highlight w:val="none"/>
                <w:shd w:fill="FFFFFF" w:val="clear"/>
              </w:rPr>
            </w:pPr>
            <w:r>
              <w:rPr>
                <w:shd w:fill="FFFFFF" w:val="clear"/>
              </w:rPr>
              <w:t>100</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3. Number of consumer complaints in respect of the following</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649"/>
        <w:gridCol w:w="1778"/>
        <w:gridCol w:w="1000"/>
        <w:gridCol w:w="1665"/>
        <w:gridCol w:w="1778"/>
        <w:gridCol w:w="1000"/>
        <w:gridCol w:w="1665"/>
      </w:tblGrid>
      <w:tr>
        <w:trPr>
          <w:tblHeader w:val="true"/>
        </w:trPr>
        <w:tc>
          <w:tcPr>
            <w:tcW w:w="1649"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177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Received during the year FY (2025-26)</w:t>
            </w:r>
          </w:p>
        </w:tc>
        <w:tc>
          <w:tcPr>
            <w:tcW w:w="10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end of year FY (2025-26)</w:t>
            </w:r>
          </w:p>
        </w:tc>
        <w:tc>
          <w:tcPr>
            <w:tcW w:w="1665"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Remark FY (2025-26)</w:t>
            </w:r>
          </w:p>
        </w:tc>
        <w:tc>
          <w:tcPr>
            <w:tcW w:w="1778"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Received during the year FY (2024-25)</w:t>
            </w:r>
          </w:p>
        </w:tc>
        <w:tc>
          <w:tcPr>
            <w:tcW w:w="10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Pending resolution at end of year FY (024-25)</w:t>
            </w:r>
          </w:p>
        </w:tc>
        <w:tc>
          <w:tcPr>
            <w:tcW w:w="166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Remark FY (024-25)</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Data privacy</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Advertising</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Cyber-security</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Delivery of essential services</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Restrictive Trade Practices</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Nil</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Unfair Trade Practices</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r>
        <w:trPr/>
        <w:tc>
          <w:tcPr>
            <w:tcW w:w="1649" w:type="dxa"/>
            <w:tcBorders>
              <w:top w:val="single" w:sz="6" w:space="0" w:color="000000"/>
              <w:bottom w:val="single" w:sz="6" w:space="0" w:color="000000"/>
              <w:right w:val="single" w:sz="6" w:space="0" w:color="000000"/>
            </w:tcBorders>
          </w:tcPr>
          <w:p>
            <w:pPr>
              <w:pStyle w:val="Normal"/>
              <w:widowControl w:val="false"/>
              <w:spacing w:lineRule="auto" w:line="264"/>
              <w:rPr/>
            </w:pPr>
            <w:r>
              <w:rPr/>
              <w:t>Other</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NA</w:t>
            </w:r>
          </w:p>
        </w:tc>
        <w:tc>
          <w:tcPr>
            <w:tcW w:w="177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0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Nil</w:t>
            </w:r>
          </w:p>
        </w:tc>
        <w:tc>
          <w:tcPr>
            <w:tcW w:w="1665" w:type="dxa"/>
            <w:tcBorders>
              <w:top w:val="single" w:sz="6" w:space="0" w:color="000000"/>
              <w:left w:val="single" w:sz="6" w:space="0" w:color="000000"/>
              <w:bottom w:val="single" w:sz="6" w:space="0" w:color="000000"/>
            </w:tcBorders>
          </w:tcPr>
          <w:p>
            <w:pPr>
              <w:pStyle w:val="Normal"/>
              <w:widowControl w:val="false"/>
              <w:spacing w:lineRule="auto" w:line="264"/>
              <w:jc w:val="center"/>
              <w:rPr/>
            </w:pPr>
            <w:r>
              <w:rPr/>
              <w:t>NA</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4. Details of instances of product recalls on account of safety issues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1200"/>
        <w:gridCol w:w="3734"/>
        <w:gridCol w:w="5602"/>
      </w:tblGrid>
      <w:tr>
        <w:trPr>
          <w:tblHeader w:val="true"/>
        </w:trPr>
        <w:tc>
          <w:tcPr>
            <w:tcW w:w="12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373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Number</w:t>
            </w:r>
          </w:p>
        </w:tc>
        <w:tc>
          <w:tcPr>
            <w:tcW w:w="5602"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Reasons for recall</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Voluntary recalls</w:t>
            </w:r>
          </w:p>
        </w:tc>
        <w:tc>
          <w:tcPr>
            <w:tcW w:w="37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5602"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r>
        <w:trPr/>
        <w:tc>
          <w:tcPr>
            <w:tcW w:w="1200" w:type="dxa"/>
            <w:tcBorders>
              <w:top w:val="single" w:sz="6" w:space="0" w:color="000000"/>
              <w:bottom w:val="single" w:sz="6" w:space="0" w:color="000000"/>
              <w:right w:val="single" w:sz="6" w:space="0" w:color="000000"/>
            </w:tcBorders>
          </w:tcPr>
          <w:p>
            <w:pPr>
              <w:pStyle w:val="Normal"/>
              <w:widowControl w:val="false"/>
              <w:spacing w:lineRule="auto" w:line="264"/>
              <w:rPr/>
            </w:pPr>
            <w:r>
              <w:rPr/>
              <w:t>Forced recalls</w:t>
            </w:r>
          </w:p>
        </w:tc>
        <w:tc>
          <w:tcPr>
            <w:tcW w:w="37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jc w:val="center"/>
              <w:rPr/>
            </w:pPr>
            <w:r>
              <w:rPr/>
              <w:t>0</w:t>
            </w:r>
          </w:p>
        </w:tc>
        <w:tc>
          <w:tcPr>
            <w:tcW w:w="5602"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bl>
    <w:p>
      <w:pPr>
        <w:pStyle w:val="Normal"/>
        <w:spacing w:before="0" w:after="120"/>
        <w:rPr>
          <w:highlight w:val="yellow"/>
        </w:rPr>
      </w:pPr>
      <w:r>
        <w:rPr>
          <w:highlight w:val="yellow"/>
        </w:rPr>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779"/>
        <w:gridCol w:w="3800"/>
        <w:gridCol w:w="5957"/>
      </w:tblGrid>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5</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Does the entity have a framework/ policy on cyber security and risks related to data privacy? (Yes/No) If available, provide a web-link of the policy.</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 xml:space="preserve">Yes. An IT Security framework has been established based on NIST framework. Data Privacy Policy: KIL ensures adherence with the global data privacy policy along with global monitoring of data privacy and cyber security, to avoid any misalignment. </w:t>
            </w:r>
          </w:p>
          <w:p>
            <w:pPr>
              <w:pStyle w:val="Normal"/>
              <w:widowControl w:val="false"/>
              <w:spacing w:lineRule="auto" w:line="264"/>
              <w:rPr/>
            </w:pPr>
            <w:r>
              <w:rPr/>
            </w:r>
          </w:p>
          <w:p>
            <w:pPr>
              <w:pStyle w:val="Normal"/>
              <w:widowControl w:val="false"/>
              <w:spacing w:lineRule="auto" w:line="264"/>
              <w:rPr/>
            </w:pPr>
            <w:r>
              <w:rPr/>
              <w:t>Weblink: https://www.kennametal.com/in/en/about-us/data-privacy/privacy-statement.html</w:t>
            </w:r>
          </w:p>
        </w:tc>
      </w:tr>
      <w:tr>
        <w:trPr/>
        <w:tc>
          <w:tcPr>
            <w:tcW w:w="779" w:type="dxa"/>
            <w:tcBorders>
              <w:top w:val="single" w:sz="6" w:space="0" w:color="000000"/>
              <w:bottom w:val="single" w:sz="6" w:space="0" w:color="000000"/>
              <w:right w:val="single" w:sz="6" w:space="0" w:color="000000"/>
            </w:tcBorders>
          </w:tcPr>
          <w:p>
            <w:pPr>
              <w:pStyle w:val="Normal"/>
              <w:widowControl w:val="false"/>
              <w:spacing w:lineRule="auto" w:line="264"/>
              <w:jc w:val="center"/>
              <w:rPr/>
            </w:pPr>
            <w:r>
              <w:rPr>
                <w:b/>
                <w:bCs/>
              </w:rPr>
              <w:t>6</w:t>
            </w:r>
          </w:p>
        </w:tc>
        <w:tc>
          <w:tcPr>
            <w:tcW w:w="38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64"/>
              <w:rPr/>
            </w:pPr>
            <w:r>
              <w:rPr>
                <w:b/>
                <w:bCs/>
              </w:rPr>
              <w:t>Provide details of any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tc>
        <w:tc>
          <w:tcPr>
            <w:tcW w:w="5957" w:type="dxa"/>
            <w:tcBorders>
              <w:top w:val="single" w:sz="6" w:space="0" w:color="000000"/>
              <w:left w:val="single" w:sz="6" w:space="0" w:color="000000"/>
              <w:bottom w:val="single" w:sz="6" w:space="0" w:color="000000"/>
            </w:tcBorders>
          </w:tcPr>
          <w:p>
            <w:pPr>
              <w:pStyle w:val="Normal"/>
              <w:widowControl w:val="false"/>
              <w:spacing w:lineRule="auto" w:line="264"/>
              <w:rPr/>
            </w:pPr>
            <w:r>
              <w:rPr/>
              <w:t>Not Applicable</w:t>
            </w:r>
          </w:p>
        </w:tc>
      </w:tr>
    </w:tbl>
    <w:p>
      <w:pPr>
        <w:pStyle w:val="Normal"/>
        <w:spacing w:before="0" w:after="120"/>
        <w:rPr>
          <w:highlight w:val="yellow"/>
        </w:rPr>
      </w:pPr>
      <w:r>
        <w:rPr>
          <w:highlight w:val="yellow"/>
        </w:rPr>
      </w:r>
    </w:p>
    <w:p>
      <w:pPr>
        <w:pStyle w:val="Normal"/>
        <w:keepNext w:val="true"/>
        <w:keepLines/>
        <w:spacing w:lineRule="auto" w:line="276" w:before="160" w:after="80"/>
        <w:rPr/>
      </w:pPr>
      <w:r>
        <w:rPr>
          <w:b/>
          <w:bCs/>
        </w:rPr>
        <w:t>7. Provide the following information relating to data breaches:</w:t>
      </w:r>
    </w:p>
    <w:tbl>
      <w:tblPr>
        <w:tblW w:w="10536" w:type="dxa"/>
        <w:jc w:val="left"/>
        <w:tblInd w:w="0" w:type="dxa"/>
        <w:tblLayout w:type="fixed"/>
        <w:tblCellMar>
          <w:top w:w="80" w:type="dxa"/>
          <w:left w:w="100" w:type="dxa"/>
          <w:bottom w:w="80" w:type="dxa"/>
          <w:right w:w="100" w:type="dxa"/>
        </w:tblCellMar>
        <w:tblLook w:val="04a0" w:noHBand="0" w:noVBand="1" w:firstColumn="1" w:lastRow="0" w:lastColumn="0" w:firstRow="1"/>
      </w:tblPr>
      <w:tblGrid>
        <w:gridCol w:w="2800"/>
        <w:gridCol w:w="7735"/>
      </w:tblGrid>
      <w:tr>
        <w:trPr>
          <w:tblHeader w:val="true"/>
        </w:trPr>
        <w:tc>
          <w:tcPr>
            <w:tcW w:w="2800" w:type="dxa"/>
            <w:tcBorders>
              <w:top w:val="single" w:sz="6" w:space="0" w:color="000000"/>
              <w:bottom w:val="single" w:sz="6" w:space="0" w:color="000000"/>
              <w:right w:val="single" w:sz="6" w:space="0" w:color="000000"/>
            </w:tcBorders>
            <w:shd w:color="auto" w:fill="FFFFFF" w:val="clear"/>
            <w:vAlign w:val="center"/>
          </w:tcPr>
          <w:p>
            <w:pPr>
              <w:pStyle w:val="Normal"/>
              <w:widowControl w:val="false"/>
              <w:spacing w:lineRule="auto" w:line="264"/>
              <w:rPr/>
            </w:pPr>
            <w:r>
              <w:rPr>
                <w:b/>
                <w:bCs/>
              </w:rPr>
              <w:t xml:space="preserve"> </w:t>
            </w:r>
          </w:p>
        </w:tc>
        <w:tc>
          <w:tcPr>
            <w:tcW w:w="7735" w:type="dxa"/>
            <w:tcBorders>
              <w:top w:val="single" w:sz="6" w:space="0" w:color="000000"/>
              <w:left w:val="single" w:sz="6" w:space="0" w:color="000000"/>
              <w:bottom w:val="single" w:sz="6" w:space="0" w:color="000000"/>
            </w:tcBorders>
            <w:shd w:color="auto" w:fill="FFFFFF" w:val="clear"/>
            <w:vAlign w:val="center"/>
          </w:tcPr>
          <w:p>
            <w:pPr>
              <w:pStyle w:val="Normal"/>
              <w:widowControl w:val="false"/>
              <w:spacing w:lineRule="auto" w:line="264"/>
              <w:rPr/>
            </w:pPr>
            <w:r>
              <w:rPr>
                <w:b/>
                <w:bCs/>
              </w:rPr>
              <w:t>Response</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Number of instances of data breaches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0</w:t>
            </w:r>
          </w:p>
        </w:tc>
      </w:tr>
      <w:tr>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Percentage of data breaches involving personally identifiable information of customers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0</w:t>
            </w:r>
          </w:p>
        </w:tc>
      </w:tr>
      <w:tr>
        <w:trPr>
          <w:trHeight w:val="25" w:hRule="atLeast"/>
        </w:trPr>
        <w:tc>
          <w:tcPr>
            <w:tcW w:w="2800" w:type="dxa"/>
            <w:tcBorders>
              <w:top w:val="single" w:sz="6" w:space="0" w:color="000000"/>
              <w:bottom w:val="single" w:sz="6" w:space="0" w:color="000000"/>
              <w:right w:val="single" w:sz="6" w:space="0" w:color="000000"/>
            </w:tcBorders>
          </w:tcPr>
          <w:p>
            <w:pPr>
              <w:pStyle w:val="Normal"/>
              <w:widowControl w:val="false"/>
              <w:spacing w:lineRule="auto" w:line="264"/>
              <w:rPr/>
            </w:pPr>
            <w:r>
              <w:rPr/>
              <w:t>Impact, if any, of the data breaches</w:t>
            </w:r>
          </w:p>
        </w:tc>
        <w:tc>
          <w:tcPr>
            <w:tcW w:w="7735" w:type="dxa"/>
            <w:tcBorders>
              <w:top w:val="single" w:sz="6" w:space="0" w:color="000000"/>
              <w:left w:val="single" w:sz="6" w:space="0" w:color="000000"/>
              <w:bottom w:val="single" w:sz="6" w:space="0" w:color="000000"/>
            </w:tcBorders>
          </w:tcPr>
          <w:p>
            <w:pPr>
              <w:pStyle w:val="Normal"/>
              <w:widowControl w:val="false"/>
              <w:spacing w:lineRule="auto" w:line="264"/>
              <w:rPr/>
            </w:pPr>
            <w:r>
              <w:rPr/>
              <w:t>NA</w:t>
            </w:r>
          </w:p>
        </w:tc>
      </w:tr>
    </w:tbl>
    <w:p>
      <w:pPr>
        <w:pStyle w:val="Normal"/>
        <w:spacing w:before="0" w:after="120"/>
        <w:rPr/>
      </w:pPr>
      <w:r>
        <w:rPr/>
      </w:r>
    </w:p>
    <w:sectPr>
      <w:headerReference w:type="default" r:id="rId6"/>
      <w:footerReference w:type="default" r:id="rId7"/>
      <w:type w:val="nextPage"/>
      <w:pgSz w:w="11906" w:h="16838"/>
      <w:pgMar w:left="685" w:right="685" w:gutter="0" w:header="360" w:top="1045" w:footer="360" w:bottom="1045"/>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D4A017"/>
      <w:spacing w:lineRule="exact" w:line="360"/>
      <w:rPr/>
    </w:pPr>
    <w:r>
      <w:rPr>
        <w:sz w:val="18"/>
        <w:szCs w:val="18"/>
      </w:rPr>
      <w:t xml:space="preserve"> </w:t>
    </w:r>
  </w:p>
  <w:p>
    <w:pPr>
      <w:pStyle w:val="Normal"/>
      <w:spacing w:lineRule="exact" w:line="120"/>
      <w:rPr/>
    </w:pPr>
    <w:r>
      <w:rPr/>
    </w:r>
  </w:p>
  <w:p>
    <w:pPr>
      <w:pStyle w:val="Normal"/>
      <w:tabs>
        <w:tab w:val="clear" w:pos="720"/>
        <w:tab w:val="right" w:pos="10536" w:leader="none"/>
      </w:tabs>
      <w:spacing w:before="60" w:after="0"/>
      <w:rPr/>
    </w:pPr>
    <w:r>
      <w:rPr>
        <w:b/>
        <w:bCs/>
      </w:rPr>
      <w:t xml:space="preserve">Annual Report FY </w:t>
    </w:r>
    <w:r>
      <w:rPr>
        <w:b/>
        <w:bCs/>
      </w:rPr>
      <w:t>2025-2026</w:t>
    </w:r>
    <w:r>
      <w:rPr/>
      <w:tab/>
    </w:r>
    <w:r>
      <w:rPr>
        <w:b/>
        <w:bCs/>
      </w:rPr>
      <w:fldChar w:fldCharType="begin"/>
    </w:r>
    <w:r>
      <w:rPr>
        <w:b/>
        <w:bCs/>
      </w:rPr>
      <w:instrText xml:space="preserve"> PAGE </w:instrText>
    </w:r>
    <w:r>
      <w:rPr>
        <w:b/>
        <w:bCs/>
      </w:rPr>
      <w:fldChar w:fldCharType="separate"/>
    </w:r>
    <w:r>
      <w:rPr>
        <w:b/>
        <w:bCs/>
      </w:rPr>
      <w:t>1</w:t>
    </w:r>
    <w:r>
      <w:rPr>
        <w:b/>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b/>
        <w:bCs/>
        <w:color w:val="444444"/>
      </w:rPr>
      <w:t>Kennametal India Limited (KIL)</w:t>
    </w:r>
    <w:r>
      <w:rPr/>
      <w:t xml:space="preserve">  </w:t>
    </w:r>
    <w:r>
      <w:rPr/>
      <w:drawing>
        <wp:inline distT="0" distB="0" distL="0" distR="0">
          <wp:extent cx="342900" cy="3429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342900" cy="34290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en-IN" w:eastAsia="en-I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000000"/>
      <w:kern w:val="0"/>
      <w:sz w:val="20"/>
      <w:szCs w:val="20"/>
      <w:lang w:val="en-IN" w:eastAsia="en-IN" w:bidi="ar-SA"/>
    </w:rPr>
  </w:style>
  <w:style w:type="paragraph" w:styleId="Heading1">
    <w:name w:val="Heading 1"/>
    <w:uiPriority w:val="9"/>
    <w:qFormat/>
    <w:pPr>
      <w:widowControl/>
      <w:bidi w:val="0"/>
      <w:spacing w:before="0" w:after="0"/>
      <w:jc w:val="left"/>
      <w:outlineLvl w:val="0"/>
    </w:pPr>
    <w:rPr>
      <w:rFonts w:ascii="Times New Roman" w:hAnsi="Times New Roman" w:eastAsia="Times New Roman" w:cs="Times New Roman"/>
      <w:color w:val="2E74B5"/>
      <w:kern w:val="0"/>
      <w:sz w:val="32"/>
      <w:szCs w:val="32"/>
      <w:lang w:val="en-IN" w:eastAsia="en-IN" w:bidi="ar-SA"/>
    </w:rPr>
  </w:style>
  <w:style w:type="paragraph" w:styleId="Heading2">
    <w:name w:val="Heading 2"/>
    <w:uiPriority w:val="9"/>
    <w:semiHidden/>
    <w:unhideWhenUsed/>
    <w:qFormat/>
    <w:pPr>
      <w:widowControl/>
      <w:bidi w:val="0"/>
      <w:spacing w:before="0" w:after="0"/>
      <w:jc w:val="left"/>
      <w:outlineLvl w:val="1"/>
    </w:pPr>
    <w:rPr>
      <w:rFonts w:ascii="Times New Roman" w:hAnsi="Times New Roman" w:eastAsia="Times New Roman" w:cs="Times New Roman"/>
      <w:color w:val="2E74B5"/>
      <w:kern w:val="0"/>
      <w:sz w:val="26"/>
      <w:szCs w:val="26"/>
      <w:lang w:val="en-IN" w:eastAsia="en-IN" w:bidi="ar-SA"/>
    </w:rPr>
  </w:style>
  <w:style w:type="paragraph" w:styleId="Heading3">
    <w:name w:val="Heading 3"/>
    <w:uiPriority w:val="9"/>
    <w:semiHidden/>
    <w:unhideWhenUsed/>
    <w:qFormat/>
    <w:pPr>
      <w:widowControl/>
      <w:bidi w:val="0"/>
      <w:spacing w:before="0" w:after="0"/>
      <w:jc w:val="left"/>
      <w:outlineLvl w:val="2"/>
    </w:pPr>
    <w:rPr>
      <w:rFonts w:ascii="Times New Roman" w:hAnsi="Times New Roman" w:eastAsia="Times New Roman" w:cs="Times New Roman"/>
      <w:color w:val="1F4D78"/>
      <w:kern w:val="0"/>
      <w:sz w:val="24"/>
      <w:szCs w:val="24"/>
      <w:lang w:val="en-IN" w:eastAsia="en-IN" w:bidi="ar-SA"/>
    </w:rPr>
  </w:style>
  <w:style w:type="paragraph" w:styleId="Heading4">
    <w:name w:val="Heading 4"/>
    <w:uiPriority w:val="9"/>
    <w:semiHidden/>
    <w:unhideWhenUsed/>
    <w:qFormat/>
    <w:pPr>
      <w:widowControl/>
      <w:bidi w:val="0"/>
      <w:spacing w:before="0" w:after="0"/>
      <w:jc w:val="left"/>
      <w:outlineLvl w:val="3"/>
    </w:pPr>
    <w:rPr>
      <w:rFonts w:ascii="Times New Roman" w:hAnsi="Times New Roman" w:eastAsia="Times New Roman" w:cs="Times New Roman"/>
      <w:i/>
      <w:iCs/>
      <w:color w:val="2E74B5"/>
      <w:kern w:val="0"/>
      <w:sz w:val="20"/>
      <w:szCs w:val="20"/>
      <w:lang w:val="en-IN" w:eastAsia="en-IN" w:bidi="ar-SA"/>
    </w:rPr>
  </w:style>
  <w:style w:type="paragraph" w:styleId="Heading5">
    <w:name w:val="Heading 5"/>
    <w:uiPriority w:val="9"/>
    <w:semiHidden/>
    <w:unhideWhenUsed/>
    <w:qFormat/>
    <w:pPr>
      <w:widowControl/>
      <w:bidi w:val="0"/>
      <w:spacing w:before="0" w:after="0"/>
      <w:jc w:val="left"/>
      <w:outlineLvl w:val="4"/>
    </w:pPr>
    <w:rPr>
      <w:rFonts w:ascii="Times New Roman" w:hAnsi="Times New Roman" w:eastAsia="Times New Roman" w:cs="Times New Roman"/>
      <w:color w:val="2E74B5"/>
      <w:kern w:val="0"/>
      <w:sz w:val="20"/>
      <w:szCs w:val="20"/>
      <w:lang w:val="en-IN" w:eastAsia="en-IN" w:bidi="ar-SA"/>
    </w:rPr>
  </w:style>
  <w:style w:type="paragraph" w:styleId="Heading6">
    <w:name w:val="Heading 6"/>
    <w:uiPriority w:val="9"/>
    <w:semiHidden/>
    <w:unhideWhenUsed/>
    <w:qFormat/>
    <w:pPr>
      <w:widowControl/>
      <w:bidi w:val="0"/>
      <w:spacing w:before="0" w:after="0"/>
      <w:jc w:val="left"/>
      <w:outlineLvl w:val="5"/>
    </w:pPr>
    <w:rPr>
      <w:rFonts w:ascii="Times New Roman" w:hAnsi="Times New Roman" w:eastAsia="Times New Roman" w:cs="Times New Roman"/>
      <w:color w:val="1F4D78"/>
      <w:kern w:val="0"/>
      <w:sz w:val="20"/>
      <w:szCs w:val="20"/>
      <w:lang w:val="en-IN" w:eastAsia="en-IN" w:bidi="ar-SA"/>
    </w:rPr>
  </w:style>
  <w:style w:type="character" w:styleId="DefaultParagraphFont" w:default="1">
    <w:name w:val="Default Paragraph Font"/>
    <w:uiPriority w:val="1"/>
    <w:unhideWhenUsed/>
    <w:qFormat/>
    <w:rPr/>
  </w:style>
  <w:style w:type="character" w:styleId="Internet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Anchor">
    <w:name w:val="Footnote Anchor"/>
    <w:rPr>
      <w:vertAlign w:val="superscript"/>
    </w:rPr>
  </w:style>
  <w:style w:type="character" w:styleId="FootnoteTextChar" w:customStyle="1">
    <w:name w:val="Footnote Text Char"/>
    <w:link w:val="Footnote"/>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Anchor">
    <w:name w:val="Endnote Anchor"/>
    <w:rPr>
      <w:vertAlign w:val="superscript"/>
    </w:rPr>
  </w:style>
  <w:style w:type="character" w:styleId="EndnoteTextChar" w:customStyle="1">
    <w:name w:val="Endnote Text Char"/>
    <w:link w:val="Endnote"/>
    <w:uiPriority w:val="99"/>
    <w:semiHidden/>
    <w:unhideWhenUsed/>
    <w:qFormat/>
    <w:rPr>
      <w:sz w:val="20"/>
      <w:szCs w:val="20"/>
    </w:rPr>
  </w:style>
  <w:style w:type="character" w:styleId="UnresolvedMention">
    <w:name w:val="Unresolved Mention"/>
    <w:basedOn w:val="DefaultParagraphFont"/>
    <w:uiPriority w:val="99"/>
    <w:semiHidden/>
    <w:unhideWhenUsed/>
    <w:qFormat/>
    <w:rsid w:val="00c16640"/>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uiPriority w:val="10"/>
    <w:qFormat/>
    <w:pPr>
      <w:widowControl/>
      <w:bidi w:val="0"/>
      <w:spacing w:before="0" w:after="0"/>
      <w:jc w:val="left"/>
    </w:pPr>
    <w:rPr>
      <w:rFonts w:ascii="Times New Roman" w:hAnsi="Times New Roman" w:eastAsia="Times New Roman" w:cs="Times New Roman"/>
      <w:color w:val="000000"/>
      <w:kern w:val="0"/>
      <w:sz w:val="56"/>
      <w:szCs w:val="56"/>
      <w:lang w:val="en-IN" w:eastAsia="en-IN" w:bidi="ar-SA"/>
    </w:rPr>
  </w:style>
  <w:style w:type="paragraph" w:styleId="Strong1" w:customStyle="1">
    <w:name w:val="Strong1"/>
    <w:qFormat/>
    <w:pPr>
      <w:widowControl/>
      <w:bidi w:val="0"/>
      <w:spacing w:before="0" w:after="0"/>
      <w:jc w:val="left"/>
    </w:pPr>
    <w:rPr>
      <w:rFonts w:ascii="Times New Roman" w:hAnsi="Times New Roman" w:eastAsia="Times New Roman" w:cs="Times New Roman"/>
      <w:b/>
      <w:bCs/>
      <w:color w:val="000000"/>
      <w:kern w:val="0"/>
      <w:sz w:val="20"/>
      <w:szCs w:val="20"/>
      <w:lang w:val="en-IN" w:eastAsia="en-IN" w:bidi="ar-SA"/>
    </w:rPr>
  </w:style>
  <w:style w:type="paragraph" w:styleId="ListParagraph">
    <w:name w:val="List Paragraph"/>
    <w:qFormat/>
    <w:pPr>
      <w:widowControl/>
      <w:bidi w:val="0"/>
      <w:spacing w:before="0" w:after="0"/>
      <w:jc w:val="left"/>
    </w:pPr>
    <w:rPr>
      <w:rFonts w:ascii="Times New Roman" w:hAnsi="Times New Roman" w:eastAsia="Times New Roman" w:cs="Times New Roman"/>
      <w:color w:val="000000"/>
      <w:kern w:val="0"/>
      <w:sz w:val="20"/>
      <w:szCs w:val="20"/>
      <w:lang w:val="en-IN" w:eastAsia="en-IN" w:bidi="ar-SA"/>
    </w:rPr>
  </w:style>
  <w:style w:type="paragraph" w:styleId="Footnote">
    <w:name w:val="Footnote Text"/>
    <w:link w:val="FootnoteTextChar"/>
    <w:uiPriority w:val="99"/>
    <w:semiHidden/>
    <w:unhideWhenUsed/>
    <w:pPr>
      <w:widowControl/>
      <w:bidi w:val="0"/>
      <w:spacing w:before="0" w:after="0"/>
      <w:jc w:val="left"/>
    </w:pPr>
    <w:rPr>
      <w:rFonts w:ascii="Times New Roman" w:hAnsi="Times New Roman" w:eastAsia="Times New Roman" w:cs="Times New Roman"/>
      <w:color w:val="000000"/>
      <w:kern w:val="0"/>
      <w:sz w:val="20"/>
      <w:szCs w:val="20"/>
      <w:lang w:val="en-IN" w:eastAsia="en-IN" w:bidi="ar-SA"/>
    </w:rPr>
  </w:style>
  <w:style w:type="paragraph" w:styleId="Endnote">
    <w:name w:val="Endnote Text"/>
    <w:link w:val="EndnoteTextChar"/>
    <w:uiPriority w:val="99"/>
    <w:semiHidden/>
    <w:unhideWhenUsed/>
    <w:pPr>
      <w:widowControl/>
      <w:bidi w:val="0"/>
      <w:spacing w:before="0" w:after="0"/>
      <w:jc w:val="left"/>
    </w:pPr>
    <w:rPr>
      <w:rFonts w:ascii="Times New Roman" w:hAnsi="Times New Roman" w:eastAsia="Times New Roman" w:cs="Times New Roman"/>
      <w:color w:val="000000"/>
      <w:kern w:val="0"/>
      <w:sz w:val="20"/>
      <w:szCs w:val="20"/>
      <w:lang w:val="en-IN" w:eastAsia="en-IN" w:bidi="ar-SA"/>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ennametal.com/in/en/about-us/kennametal-india-story.html" TargetMode="External"/><Relationship Id="rId3" Type="http://schemas.openxmlformats.org/officeDocument/2006/relationships/hyperlink" Target="https://www.kennametal.com/in/en/about-us/kil-financials/policies.html" TargetMode="External"/><Relationship Id="rId4" Type="http://schemas.openxmlformats.org/officeDocument/2006/relationships/hyperlink" Target="https://www.kennametal.com/in/en/about-us/kil-financials/policies.html" TargetMode="External"/><Relationship Id="rId5" Type="http://schemas.openxmlformats.org/officeDocument/2006/relationships/hyperlink" Target="https://in.investors.kennametal.com/corporate-governance/policies-codes"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39FB-A957-45A9-9F93-117D0AA3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Application>LibreOffice/7.3.7.2$Linux_X86_64 LibreOffice_project/30$Build-2</Application>
  <AppVersion>15.0000</AppVersion>
  <Pages>42</Pages>
  <Words>11899</Words>
  <Characters>65826</Characters>
  <CharactersWithSpaces>75685</CharactersWithSpaces>
  <Paragraphs>2249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2026-07-23T03:50:00Z</dcterms:created>
  <dc:creator>Un-named</dc:creator>
  <dc:description/>
  <dc:language>en-IN</dc:language>
  <cp:lastModifiedBy/>
  <dcterms:modified xsi:type="dcterms:W3CDTF">2026-07-23T14:21:37Z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